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rPr>
          <w:b w:val="0"/>
        </w:rPr>
        <w:t>МЕТАПРОЕКТ ЦИВИЛИЗАЦИИ • ЭКВИЛИБРИУМ</w:t>
      </w:r>
    </w:p>
    <w:p>
      <w:bookmarkStart w:id="1" w:name="cover"/>
      <w:pPr>
        <w:pStyle w:val="Heading1"/>
        <w:spacing w:before="700" w:after="440"/>
      </w:pPr>
      <w:r>
        <w:rPr>
          <w:sz w:val="74"/>
        </w:rPr>
        <w:t>БЕЛАЯ КНИГА</w:t>
        <w:br/>
        <w:t>ЕДИНОЙ СУДЬБЫ</w:t>
      </w:r>
      <w:bookmarkEnd w:id="1"/>
    </w:p>
    <w:p>
      <w:pPr>
        <w:pStyle w:val="Subtitle"/>
      </w:pPr>
      <w:r>
        <w:rPr>
          <w:b w:val="0"/>
        </w:rPr>
        <w:t>Человек. Живая Земля. Созидающая цивилизация.</w:t>
      </w:r>
    </w:p>
    <w:p>
      <w:pPr>
        <w:spacing w:after="500"/>
      </w:pPr>
      <w:r>
        <w:rPr>
          <w:b w:val="0"/>
        </w:rPr>
        <w:t>От общего смысла — к согласованным действиям</w:t>
        <w:br/>
        <w:t>и проверяемому улучшению жизни.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ЕДИНАЯ СУДЬБА — ОБЩАЯ ОТВЕТСТВЕННОСТЬ</w:t>
            </w:r>
          </w:p>
          <w:p>
            <w:pPr>
              <w:widowControl/>
              <w:spacing w:after="160"/>
            </w:pPr>
            <w:r>
              <w:t>Не единообразие людей и не предопределённость будущего, а способность свободных участников соединять знания, ресурсы и действия ради жизни, мира и развития.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3250"/>
        <w:gridCol w:w="3250"/>
        <w:gridCol w:w="3250"/>
      </w:tblGrid>
      <w:tr>
        <w:trPr>
          <w:tblHeader w:val="true"/>
        </w:trPr>
        <w:tc>
          <w:tcPr>
            <w:tcW w:type="dxa" w:w="325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1"/>
              </w:rPr>
              <w:t>16 КОНОВ</w:t>
            </w:r>
          </w:p>
        </w:tc>
        <w:tc>
          <w:tcPr>
            <w:tcW w:type="dxa" w:w="325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1"/>
              </w:rPr>
              <w:t>19 СТАТЕЙ</w:t>
            </w:r>
          </w:p>
        </w:tc>
        <w:tc>
          <w:tcPr>
            <w:tcW w:type="dxa" w:w="325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1"/>
              </w:rPr>
              <w:t>19 БАЛАНСОВ</w:t>
            </w:r>
          </w:p>
        </w:tc>
      </w:tr>
      <w:tr>
        <w:trPr>
          <w:cantSplit/>
        </w:trPr>
        <w:tc>
          <w:tcPr>
            <w:tcW w:type="dxa" w:w="325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1"/>
              </w:rPr>
              <w:t>Нравственно-философские основания</w:t>
            </w:r>
          </w:p>
        </w:tc>
        <w:tc>
          <w:tcPr>
            <w:tcW w:type="dxa" w:w="325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1"/>
              </w:rPr>
              <w:t>Завет Единого Неба</w:t>
            </w:r>
          </w:p>
        </w:tc>
        <w:tc>
          <w:tcPr>
            <w:tcW w:type="dxa" w:w="325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1"/>
              </w:rPr>
              <w:t>Согласование потребностей и возможностей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Subtitle"/>
      </w:pPr>
      <w:r>
        <w:rPr>
          <w:b w:val="0"/>
        </w:rPr>
        <w:t>Три Сферы × 19 направлений × 13 полей = 741</w:t>
        <w:br/>
        <w:t>Матрица измерительного контура: 13 × 20 = 260</w:t>
      </w:r>
    </w:p>
    <w:p>
      <w:r>
        <w:rPr>
          <w:b/>
        </w:rPr>
        <w:t>Инициатор концепции: Соколов Сергей Леонидович</w:t>
      </w:r>
    </w:p>
    <w:p>
      <w:pPr>
        <w:pStyle w:val="Small"/>
      </w:pPr>
      <w:r>
        <w:rPr>
          <w:b w:val="0"/>
        </w:rPr>
        <w:t>SOKOL EQUILIBRIS</w:t>
      </w:r>
    </w:p>
    <w:p>
      <w:pPr>
        <w:pStyle w:val="Small"/>
      </w:pPr>
      <w:r>
        <w:rPr>
          <w:b w:val="0"/>
        </w:rPr>
        <w:t>Мастер-документ проекта «Книга кинов»</w:t>
        <w:br/>
        <w:t>Рабочая редакция 1.0 • 9 сентября 2026 года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ПАСПОРТ ИЗДАНИЯ</w:t>
      </w:r>
    </w:p>
    <w:p>
      <w:bookmarkStart w:id="2" w:name="passport"/>
      <w:pPr>
        <w:pStyle w:val="Heading1"/>
      </w:pPr>
      <w:r>
        <w:t>Назначение и статус книги</w:t>
      </w:r>
      <w:bookmarkEnd w:id="2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814"/>
        <w:gridCol w:w="7937"/>
      </w:tblGrid>
      <w:tr>
        <w:trPr>
          <w:tblHeader w:val="true"/>
        </w:trPr>
        <w:tc>
          <w:tcPr>
            <w:tcW w:type="dxa" w:w="181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793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Название</w:t>
            </w:r>
          </w:p>
        </w:tc>
        <w:tc>
          <w:tcPr>
            <w:tcW w:type="dxa" w:w="793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Белая книга Единой Судьбы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Идентификатор</w:t>
            </w:r>
          </w:p>
        </w:tc>
        <w:tc>
          <w:tcPr>
            <w:tcW w:type="dxa" w:w="793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BK-ES-001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Редакция</w:t>
            </w:r>
          </w:p>
        </w:tc>
        <w:tc>
          <w:tcPr>
            <w:tcW w:type="dxa" w:w="793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1.0 от 09.09.2026. Проект для обсуждения и разработки пилотов.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Преемственность</w:t>
            </w:r>
          </w:p>
        </w:tc>
        <w:tc>
          <w:tcPr>
            <w:tcW w:type="dxa" w:w="793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Развитие мастер-концепции «Белая Книга Судьбы». Названия прежних работ сохраняются в реестре.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Предмет</w:t>
            </w:r>
          </w:p>
        </w:tc>
        <w:tc>
          <w:tcPr>
            <w:tcW w:type="dxa" w:w="793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Смысловые основания, 19 направлений, связанные балансы, институты, данные и механизмы исполнения.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Горизонт</w:t>
            </w:r>
          </w:p>
        </w:tc>
        <w:tc>
          <w:tcPr>
            <w:tcW w:type="dxa" w:w="793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Первый цикл: 365 дней от согласованного запуска. Долгосрочный горизонт: 2030–2050, без предрешения результатов.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Кому адресована</w:t>
            </w:r>
          </w:p>
        </w:tc>
        <w:tc>
          <w:tcPr>
            <w:tcW w:type="dxa" w:w="793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Участникам проекта, исследователям, инженерам, кооперативам, общественным институтам и потенциальным партнёрам.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Смысл в одном абзаце</w:t>
      </w:r>
    </w:p>
    <w:p>
      <w:r>
        <w:rPr>
          <w:b w:val="0"/>
        </w:rPr>
        <w:t>Книга предлагает соединить образ будущего с управляемой практикой: от достоинства человека и бережного отношения к биосфере — к наблюдениям, решениям, ресурсам, действиям и доказанному результату. Её основная единица — не лозунг и не отдельный цифровой сервис, а воспроизводимый цикл улучшения жизни, за который есть кому отвечать.</w:t>
      </w:r>
    </w:p>
    <w:p>
      <w:pPr>
        <w:pStyle w:val="Heading2"/>
      </w:pPr>
      <w:r>
        <w:t>Четыре режима чтения</w:t>
      </w:r>
    </w:p>
    <w:p>
      <w:r>
        <w:rPr>
          <w:b w:val="0"/>
        </w:rPr>
      </w:r>
      <w:r>
        <w:rPr>
          <w:b/>
        </w:rPr>
        <w:t>Основание</w:t>
      </w:r>
      <w:r>
        <w:rPr>
          <w:b w:val="0"/>
        </w:rPr>
        <w:t xml:space="preserve"> — авторские ценности и Завет. </w:t>
      </w:r>
      <w:r>
        <w:rPr>
          <w:b/>
        </w:rPr>
        <w:t>Архитектура</w:t>
      </w:r>
      <w:r>
        <w:rPr>
          <w:b w:val="0"/>
        </w:rPr>
        <w:t xml:space="preserve"> — предлагаемые роли, связи и классификаторы. </w:t>
      </w:r>
      <w:r>
        <w:rPr>
          <w:b/>
        </w:rPr>
        <w:t>Доказательство</w:t>
      </w:r>
      <w:r>
        <w:rPr>
          <w:b w:val="0"/>
        </w:rPr>
        <w:t xml:space="preserve"> — источники, измерения и проверка. </w:t>
      </w:r>
      <w:r>
        <w:rPr>
          <w:b/>
        </w:rPr>
        <w:t>Действие</w:t>
      </w:r>
      <w:r>
        <w:rPr>
          <w:b w:val="0"/>
        </w:rPr>
        <w:t xml:space="preserve"> — пилоты, формуляры и этапы принятия решений. Эти режимы дополняют друг друга, но не подменяют.</w:t>
      </w:r>
    </w:p>
    <w:p>
      <w:pPr>
        <w:pStyle w:val="Heading2"/>
      </w:pPr>
      <w:r>
        <w:t>Граница полномочий и фактов</w:t>
      </w:r>
    </w:p>
    <w:p>
      <w:r>
        <w:rPr>
          <w:b w:val="0"/>
        </w:rPr>
        <w:t>Книга не является законом, международным договором, медицинским протоколом или подтверждением имущественных прав. Упоминание организации обозначает проектную роль либо название прежнего материала, а не согласие этой организации участвовать. Все новые формулировки 16 Конов, классификаторы и паспорта в данной редакции предложены для согласования.</w:t>
      </w:r>
    </w:p>
    <w:p>
      <w:pPr>
        <w:pStyle w:val="Small"/>
      </w:pPr>
      <w:r>
        <w:rPr>
          <w:b w:val="0"/>
        </w:rPr>
        <w:t>В реестре прежних работ отражены доступные названия и тематические связи. Полные исходные файлы этих работ в текущую сборку не включены; их версии, подписи и фактическая отправка не удостоверялись. Внешние источники перечислены в приложении Д.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НАВИГАЦИЯ</w:t>
      </w:r>
    </w:p>
    <w:p>
      <w:bookmarkStart w:id="3" w:name="toc"/>
      <w:pPr>
        <w:pStyle w:val="Heading1"/>
      </w:pPr>
      <w:r>
        <w:t>Содержание</w:t>
      </w:r>
      <w:bookmarkEnd w:id="3"/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1">
        <w:r>
          <w:rPr>
            <w:color w:val="193C4B"/>
          </w:rPr>
          <w:t>01  Миссия и образ общего будущего</w:t>
        </w:r>
      </w:hyperlink>
      <w:r>
        <w:tab/>
      </w:r>
      <w:r>
        <w:fldChar w:fldCharType="begin"/>
      </w:r>
      <w:r>
        <w:instrText xml:space="preserve"> PAGEREF c01 \h </w:instrText>
      </w:r>
      <w:r>
        <w:fldChar w:fldCharType="separate"/>
      </w:r>
      <w:r>
        <w:t>4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2">
        <w:r>
          <w:rPr>
            <w:color w:val="193C4B"/>
          </w:rPr>
          <w:t>02  Человек в центре системы</w:t>
        </w:r>
      </w:hyperlink>
      <w:r>
        <w:tab/>
      </w:r>
      <w:r>
        <w:fldChar w:fldCharType="begin"/>
      </w:r>
      <w:r>
        <w:instrText xml:space="preserve"> PAGEREF c02 \h </w:instrText>
      </w:r>
      <w:r>
        <w:fldChar w:fldCharType="separate"/>
      </w:r>
      <w:r>
        <w:t>5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3">
        <w:r>
          <w:rPr>
            <w:color w:val="193C4B"/>
          </w:rPr>
          <w:t>03  16 Конов — основания совместного действия</w:t>
        </w:r>
      </w:hyperlink>
      <w:r>
        <w:tab/>
      </w:r>
      <w:r>
        <w:fldChar w:fldCharType="begin"/>
      </w:r>
      <w:r>
        <w:instrText xml:space="preserve"> PAGEREF c03 \h </w:instrText>
      </w:r>
      <w:r>
        <w:fldChar w:fldCharType="separate"/>
      </w:r>
      <w:r>
        <w:t>6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4">
        <w:r>
          <w:rPr>
            <w:color w:val="193C4B"/>
          </w:rPr>
          <w:t>04  Завет Единого Неба — 19 статей</w:t>
        </w:r>
      </w:hyperlink>
      <w:r>
        <w:tab/>
      </w:r>
      <w:r>
        <w:fldChar w:fldCharType="begin"/>
      </w:r>
      <w:r>
        <w:instrText xml:space="preserve"> PAGEREF c04 \h </w:instrText>
      </w:r>
      <w:r>
        <w:fldChar w:fldCharType="separate"/>
      </w:r>
      <w:r>
        <w:t>8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5">
        <w:r>
          <w:rPr>
            <w:color w:val="193C4B"/>
          </w:rPr>
          <w:t>05  Планетарный лотос и Кристалл 741</w:t>
        </w:r>
      </w:hyperlink>
      <w:r>
        <w:tab/>
      </w:r>
      <w:r>
        <w:fldChar w:fldCharType="begin"/>
      </w:r>
      <w:r>
        <w:instrText xml:space="preserve"> PAGEREF c05 \h </w:instrText>
      </w:r>
      <w:r>
        <w:fldChar w:fldCharType="separate"/>
      </w:r>
      <w:r>
        <w:t>12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6">
        <w:r>
          <w:rPr>
            <w:color w:val="193C4B"/>
          </w:rPr>
          <w:t>06  Семь уровней: от принципа к балансу</w:t>
        </w:r>
      </w:hyperlink>
      <w:r>
        <w:tab/>
      </w:r>
      <w:r>
        <w:fldChar w:fldCharType="begin"/>
      </w:r>
      <w:r>
        <w:instrText xml:space="preserve"> PAGEREF c06 \h </w:instrText>
      </w:r>
      <w:r>
        <w:fldChar w:fldCharType="separate"/>
      </w:r>
      <w:r>
        <w:t>13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7">
        <w:r>
          <w:rPr>
            <w:color w:val="193C4B"/>
          </w:rPr>
          <w:t>07  19 направлений Нового Мирового Уклада</w:t>
        </w:r>
      </w:hyperlink>
      <w:r>
        <w:tab/>
      </w:r>
      <w:r>
        <w:fldChar w:fldCharType="begin"/>
      </w:r>
      <w:r>
        <w:instrText xml:space="preserve"> PAGEREF c07 \h </w:instrText>
      </w:r>
      <w:r>
        <w:fldChar w:fldCharType="separate"/>
      </w:r>
      <w:r>
        <w:t>14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8">
        <w:r>
          <w:rPr>
            <w:color w:val="193C4B"/>
          </w:rPr>
          <w:t>08  19 связанных балансов: метод управления</w:t>
        </w:r>
      </w:hyperlink>
      <w:r>
        <w:tab/>
      </w:r>
      <w:r>
        <w:fldChar w:fldCharType="begin"/>
      </w:r>
      <w:r>
        <w:instrText xml:space="preserve"> PAGEREF c08 \h </w:instrText>
      </w:r>
      <w:r>
        <w:fldChar w:fldCharType="separate"/>
      </w:r>
      <w:r>
        <w:t>16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09">
        <w:r>
          <w:rPr>
            <w:color w:val="193C4B"/>
          </w:rPr>
          <w:t>09  Измерительный контур 13 × 20</w:t>
        </w:r>
      </w:hyperlink>
      <w:r>
        <w:tab/>
      </w:r>
      <w:r>
        <w:fldChar w:fldCharType="begin"/>
      </w:r>
      <w:r>
        <w:instrText xml:space="preserve"> PAGEREF c09 \h </w:instrText>
      </w:r>
      <w:r>
        <w:fldChar w:fldCharType="separate"/>
      </w:r>
      <w:r>
        <w:t>18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0">
        <w:r>
          <w:rPr>
            <w:color w:val="193C4B"/>
          </w:rPr>
          <w:t>10  ЭКВИЛИБРИУМ и архитектура исполнения</w:t>
        </w:r>
      </w:hyperlink>
      <w:r>
        <w:tab/>
      </w:r>
      <w:r>
        <w:fldChar w:fldCharType="begin"/>
      </w:r>
      <w:r>
        <w:instrText xml:space="preserve"> PAGEREF c10 \h </w:instrText>
      </w:r>
      <w:r>
        <w:fldChar w:fldCharType="separate"/>
      </w:r>
      <w:r>
        <w:t>19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1">
        <w:r>
          <w:rPr>
            <w:color w:val="193C4B"/>
          </w:rPr>
          <w:t>11  Сообщества, институты и мирное сотрудничество</w:t>
        </w:r>
      </w:hyperlink>
      <w:r>
        <w:tab/>
      </w:r>
      <w:r>
        <w:fldChar w:fldCharType="begin"/>
      </w:r>
      <w:r>
        <w:instrText xml:space="preserve"> PAGEREF c11 \h </w:instrText>
      </w:r>
      <w:r>
        <w:fldChar w:fldCharType="separate"/>
      </w:r>
      <w:r>
        <w:t>20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2">
        <w:r>
          <w:rPr>
            <w:color w:val="193C4B"/>
          </w:rPr>
          <w:t>12  Финансы, фонды и ресурсное обеспечение</w:t>
        </w:r>
      </w:hyperlink>
      <w:r>
        <w:tab/>
      </w:r>
      <w:r>
        <w:fldChar w:fldCharType="begin"/>
      </w:r>
      <w:r>
        <w:instrText xml:space="preserve"> PAGEREF c12 \h </w:instrText>
      </w:r>
      <w:r>
        <w:fldChar w:fldCharType="separate"/>
      </w:r>
      <w:r>
        <w:t>21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3">
        <w:r>
          <w:rPr>
            <w:color w:val="193C4B"/>
          </w:rPr>
          <w:t>13  Государственный Конструктор и производительные силы</w:t>
        </w:r>
      </w:hyperlink>
      <w:r>
        <w:tab/>
      </w:r>
      <w:r>
        <w:fldChar w:fldCharType="begin"/>
      </w:r>
      <w:r>
        <w:instrText xml:space="preserve"> PAGEREF c13 \h </w:instrText>
      </w:r>
      <w:r>
        <w:fldChar w:fldCharType="separate"/>
      </w:r>
      <w:r>
        <w:t>22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4">
        <w:r>
          <w:rPr>
            <w:color w:val="193C4B"/>
          </w:rPr>
          <w:t>14  Наука, ГРИД и исследование будущего</w:t>
        </w:r>
      </w:hyperlink>
      <w:r>
        <w:tab/>
      </w:r>
      <w:r>
        <w:fldChar w:fldCharType="begin"/>
      </w:r>
      <w:r>
        <w:instrText xml:space="preserve"> PAGEREF c14 \h </w:instrText>
      </w:r>
      <w:r>
        <w:fldChar w:fldCharType="separate"/>
      </w:r>
      <w:r>
        <w:t>23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5">
        <w:r>
          <w:rPr>
            <w:color w:val="193C4B"/>
          </w:rPr>
          <w:t>15  Карта валидации и Архив сохранения наследия</w:t>
        </w:r>
      </w:hyperlink>
      <w:r>
        <w:tab/>
      </w:r>
      <w:r>
        <w:fldChar w:fldCharType="begin"/>
      </w:r>
      <w:r>
        <w:instrText xml:space="preserve"> PAGEREF c15 \h </w:instrText>
      </w:r>
      <w:r>
        <w:fldChar w:fldCharType="separate"/>
      </w:r>
      <w:r>
        <w:t>24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6">
        <w:r>
          <w:rPr>
            <w:color w:val="193C4B"/>
          </w:rPr>
          <w:t>16  Пять пилотов первого цикла</w:t>
        </w:r>
      </w:hyperlink>
      <w:r>
        <w:tab/>
      </w:r>
      <w:r>
        <w:fldChar w:fldCharType="begin"/>
      </w:r>
      <w:r>
        <w:instrText xml:space="preserve"> PAGEREF c16 \h </w:instrText>
      </w:r>
      <w:r>
        <w:fldChar w:fldCharType="separate"/>
      </w:r>
      <w:r>
        <w:t>25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7">
        <w:r>
          <w:rPr>
            <w:color w:val="193C4B"/>
          </w:rPr>
          <w:t>17  Дорожная карта на 365 дней</w:t>
        </w:r>
      </w:hyperlink>
      <w:r>
        <w:tab/>
      </w:r>
      <w:r>
        <w:fldChar w:fldCharType="begin"/>
      </w:r>
      <w:r>
        <w:instrText xml:space="preserve"> PAGEREF c17 \h </w:instrText>
      </w:r>
      <w:r>
        <w:fldChar w:fldCharType="separate"/>
      </w:r>
      <w:r>
        <w:t>27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8">
        <w:r>
          <w:rPr>
            <w:color w:val="193C4B"/>
          </w:rPr>
          <w:t>18  Риски, ограничения и условия остановки</w:t>
        </w:r>
      </w:hyperlink>
      <w:r>
        <w:tab/>
      </w:r>
      <w:r>
        <w:fldChar w:fldCharType="begin"/>
      </w:r>
      <w:r>
        <w:instrText xml:space="preserve"> PAGEREF c18 \h </w:instrText>
      </w:r>
      <w:r>
        <w:fldChar w:fldCharType="separate"/>
      </w:r>
      <w:r>
        <w:t>28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c19">
        <w:r>
          <w:rPr>
            <w:color w:val="193C4B"/>
          </w:rPr>
          <w:t>19  Принятие, обновление и общее обязательство</w:t>
        </w:r>
      </w:hyperlink>
      <w:r>
        <w:tab/>
      </w:r>
      <w:r>
        <w:fldChar w:fldCharType="begin"/>
      </w:r>
      <w:r>
        <w:instrText xml:space="preserve"> PAGEREF c19 \h </w:instrText>
      </w:r>
      <w:r>
        <w:fldChar w:fldCharType="separate"/>
      </w:r>
      <w:r>
        <w:t>29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appA">
        <w:r>
          <w:rPr>
            <w:color w:val="193C4B"/>
          </w:rPr>
          <w:t>А  Паспорта 19 балансов</w:t>
        </w:r>
      </w:hyperlink>
      <w:r>
        <w:tab/>
      </w:r>
      <w:r>
        <w:fldChar w:fldCharType="begin"/>
      </w:r>
      <w:r>
        <w:instrText xml:space="preserve"> PAGEREF appA \h </w:instrText>
      </w:r>
      <w:r>
        <w:fldChar w:fldCharType="separate"/>
      </w:r>
      <w:r>
        <w:t>30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appB">
        <w:r>
          <w:rPr>
            <w:color w:val="193C4B"/>
          </w:rPr>
          <w:t>Б  Реестр 260 измерительных позиций</w:t>
        </w:r>
      </w:hyperlink>
      <w:r>
        <w:tab/>
      </w:r>
      <w:r>
        <w:fldChar w:fldCharType="begin"/>
      </w:r>
      <w:r>
        <w:instrText xml:space="preserve"> PAGEREF appB \h </w:instrText>
      </w:r>
      <w:r>
        <w:fldChar w:fldCharType="separate"/>
      </w:r>
      <w:r>
        <w:t>35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appC">
        <w:r>
          <w:rPr>
            <w:color w:val="193C4B"/>
          </w:rPr>
          <w:t>В  Эталонные формуляры</w:t>
        </w:r>
      </w:hyperlink>
      <w:r>
        <w:tab/>
      </w:r>
      <w:r>
        <w:fldChar w:fldCharType="begin"/>
      </w:r>
      <w:r>
        <w:instrText xml:space="preserve"> PAGEREF appC \h </w:instrText>
      </w:r>
      <w:r>
        <w:fldChar w:fldCharType="separate"/>
      </w:r>
      <w:r>
        <w:t>36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appD">
        <w:r>
          <w:rPr>
            <w:color w:val="193C4B"/>
          </w:rPr>
          <w:t>Г  Реестр прежних работ и пакетов</w:t>
        </w:r>
      </w:hyperlink>
      <w:r>
        <w:tab/>
      </w:r>
      <w:r>
        <w:fldChar w:fldCharType="begin"/>
      </w:r>
      <w:r>
        <w:instrText xml:space="preserve"> PAGEREF appD \h </w:instrText>
      </w:r>
      <w:r>
        <w:fldChar w:fldCharType="separate"/>
      </w:r>
      <w:r>
        <w:t>39</w:t>
      </w:r>
      <w:r>
        <w:fldChar w:fldCharType="end"/>
      </w:r>
    </w:p>
    <w:p>
      <w:pPr>
        <w:pStyle w:val="TOCEntry"/>
        <w:tabs>
          <w:tab w:pos="9751" w:val="right"/>
        </w:tabs>
      </w:pPr>
      <w:r>
        <w:rPr>
          <w:b w:val="0"/>
        </w:rPr>
      </w:r>
      <w:hyperlink w:anchor="appE">
        <w:r>
          <w:rPr>
            <w:color w:val="193C4B"/>
          </w:rPr>
          <w:t>Д  Источники и карта достоверности</w:t>
        </w:r>
      </w:hyperlink>
      <w:r>
        <w:tab/>
      </w:r>
      <w:r>
        <w:fldChar w:fldCharType="begin"/>
      </w:r>
      <w:r>
        <w:instrText xml:space="preserve"> PAGEREF appE \h </w:instrText>
      </w:r>
      <w:r>
        <w:fldChar w:fldCharType="separate"/>
      </w:r>
      <w:r>
        <w:t>47</w:t>
      </w:r>
      <w:r>
        <w:fldChar w:fldCharType="end"/>
      </w:r>
    </w:p>
    <w:p>
      <w:pPr>
        <w:pStyle w:val="Small"/>
      </w:pPr>
      <w:r>
        <w:rPr>
          <w:b w:val="0"/>
        </w:rPr>
        <w:t>Названия в содержании — внутренние ссылки. Нумерация страниц обновляется средствами Word при открытии документа.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01</w:t>
      </w:r>
    </w:p>
    <w:p>
      <w:bookmarkStart w:id="4" w:name="c01"/>
      <w:pPr>
        <w:pStyle w:val="Heading1"/>
      </w:pPr>
      <w:r>
        <w:t>Миссия и образ общего будущего</w:t>
      </w:r>
      <w:bookmarkEnd w:id="4"/>
    </w:p>
    <w:p>
      <w:r>
        <w:rPr>
          <w:b w:val="0"/>
        </w:rPr>
      </w:r>
      <w:r>
        <w:rPr>
          <w:b/>
        </w:rPr>
        <w:t>Единая Судьба</w:t>
      </w:r>
      <w:r>
        <w:rPr>
          <w:b w:val="0"/>
        </w:rPr>
        <w:t xml:space="preserve"> — предлагаемое имя для общей ответственности людей, сообществ и институтов за последствия развития. Оно не отрицает свободу воли, множественность культур и право на собственный путь. Общим становится не образ мышления каждого человека, а способность учитывать друг друга и условия продолжения жизни.</w:t>
      </w:r>
    </w:p>
    <w:p>
      <w:pPr>
        <w:pStyle w:val="Heading2"/>
      </w:pPr>
      <w:r>
        <w:t>Образ будущего</w:t>
      </w:r>
    </w:p>
    <w:p>
      <w:r>
        <w:rPr>
          <w:b w:val="0"/>
        </w:rPr>
        <w:t>В центре этого образа — человек, у которого есть доступ к необходимой помощи, воде, пище, знаниям, безопасному жилью и достойному труду. Рядом — сильная семья в многообразии жизненных обстоятельств, сообщества взаимной поддержки, живые территории, ответственные предприятия и наука, умеющая объяснить и проверить свои решения.</w:t>
      </w:r>
    </w:p>
    <w:p>
      <w:r>
        <w:rPr>
          <w:b w:val="0"/>
        </w:rPr>
        <w:t>Новый Мировой Уклад в этой книге означает проект согласования человеческого, природного и производительного развития. Это не заявление о том, что уже создана универсальная система или устранены все противоречия. Предлагается способ двигаться: выбирать задачи, договариваться о критериях, испытывать решения, видеть потери и исправлять ошибки.</w:t>
      </w:r>
    </w:p>
    <w:p>
      <w:pPr>
        <w:pStyle w:val="Heading2"/>
      </w:pPr>
      <w:r>
        <w:t>Что меняется в управлении</w:t>
      </w:r>
    </w:p>
    <w:p>
      <w:r>
        <w:rPr>
          <w:b w:val="0"/>
        </w:rPr>
        <w:t>Исходный вопрос меняется с «какой объект построить?» на «какую потребность удовлетворить и как доказать результат?». Объект, бюджет, цифровой сервис и организационная структура становятся средствами. Проект считается состоявшимся не после выпуска презентации или освоения средств, а после подтверждения полезного результата и способности поддерживать его во времени.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ОСНОВНАЯ ПОСЛЕДОВАТЕЛЬНОСТЬ</w:t>
            </w:r>
          </w:p>
          <w:p>
            <w:pPr>
              <w:widowControl/>
              <w:spacing w:after="160"/>
            </w:pPr>
            <w:r>
              <w:t>Смысл → потребность → согласованный критерий → наблюдение → решение → ресурс → действие → результат → доказательство → обновление баланса.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Что книга объединяет</w:t>
      </w:r>
    </w:p>
    <w:p>
      <w:r>
        <w:rPr>
          <w:b w:val="0"/>
        </w:rPr>
        <w:t>ЭКВИЛИБРИУМ получает роль наблюдения и обратной связи; СФЕРА — взаимодействия участников; ECO-PPA — согласования ресурсных обязательств; СПЕЦЗАЩИТА — проектного исполнения в пределах подтверждённых полномочий. Государственный Конструктор связывает эти функции с объектами, технологиями, территориями и жизненным циклом.</w:t>
      </w:r>
    </w:p>
    <w:p>
      <w:r>
        <w:rPr>
          <w:b w:val="0"/>
        </w:rPr>
        <w:t>Начинать следует с ограниченной территории и нескольких проверяемых задач. Планетарный масштаб остаётся горизонтом совместимости, но не оправданием неограниченного объёма первого запуска. Право на масштабирование появляется через опыт, доверие и воспроизводимость результата.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02</w:t>
      </w:r>
    </w:p>
    <w:p>
      <w:bookmarkStart w:id="5" w:name="c02"/>
      <w:pPr>
        <w:pStyle w:val="Heading1"/>
      </w:pPr>
      <w:r>
        <w:t>Человек в центре системы</w:t>
      </w:r>
      <w:bookmarkEnd w:id="5"/>
    </w:p>
    <w:p>
      <w:r>
        <w:rPr>
          <w:b w:val="0"/>
        </w:rPr>
        <w:t>Человекоцентричность в предлагаемой модели — это не положение значка человека в середине схемы. Это правило выбора целей, способов измерения и ограничений: решение должно увеличивать реальные возможности людей и не превращать их в обслуживающий материал системы.</w:t>
      </w:r>
    </w:p>
    <w:p>
      <w:pPr>
        <w:pStyle w:val="Heading2"/>
      </w:pPr>
      <w:r>
        <w:t>Жизненный маршрут вместо ведомственных разрывов</w:t>
      </w:r>
    </w:p>
    <w:p>
      <w:r>
        <w:rPr>
          <w:b w:val="0"/>
        </w:rPr>
        <w:t>Потребность человека редко совпадает с границей одного учреждения. Возвращение к самостоятельной жизни после травмы может требовать помощи специалистов, доступной среды, технического средства, обучения, транспорта и поддержки семьи. Книга предлагает связывать такие действия общим маршрутом, а не требовать от человека самостоятельно соединять несогласованные службы.</w:t>
      </w:r>
    </w:p>
    <w:p>
      <w:r>
        <w:rPr>
          <w:b w:val="0"/>
        </w:rPr>
        <w:t>В программе «Второе дыхание» эталоном результата становится согласованное улучшение повседневной самостоятельности. Посещение занятий, установка устройства и количество консультаций учитываются как действия; они не объявляются автоматически восстановленной функцией. Медицинские решения и критерии помощи определяют уполномоченные специалисты.</w:t>
      </w:r>
    </w:p>
    <w:p>
      <w:pPr>
        <w:pStyle w:val="Heading2"/>
      </w:pPr>
      <w:r>
        <w:t>Три обязательных вопроса к любой программе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721"/>
        <w:gridCol w:w="7030"/>
      </w:tblGrid>
      <w:tr>
        <w:trPr>
          <w:tblHeader w:val="true"/>
        </w:trPr>
        <w:tc>
          <w:tcPr>
            <w:tcW w:type="dxa" w:w="272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Вопрос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Что требуется показать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Кому стало лучше?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Определённая группа и критерии включения; распределение эффекта, а не только среднее значение.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Что изменилось в жизни?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Доступ, качество, самостоятельность, безопасность или реальная экономия времени и ресурсов.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Как это подтверждено?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Исходное состояние, способ измерения, период, ограничения и право участника оспорить запись.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Права не зависят от регистрации в системе</w:t>
      </w:r>
    </w:p>
    <w:p>
      <w:r>
        <w:rPr>
          <w:b w:val="0"/>
        </w:rPr>
        <w:t>Доступ к основным правам нельзя ставить в зависимость от принятия символики, идеологии или цифровой идентификации проекта. Для существенных услуг проект предусматривает понятный недискриминационный порядок участия, возможность получить объяснение и доступный канал обращения без сложной цифровой процедуры.</w:t>
      </w:r>
    </w:p>
    <w:p>
      <w:r>
        <w:rPr>
          <w:b w:val="0"/>
        </w:rPr>
        <w:t>Внешний нравственно-правовой ориентир для сопоставления — Всеобщая декларация прав человека, закрепляющая равное достоинство и права, свободу совести и возможность участия в общественной жизни. Конкретные проектные процедуры ниже являются авторским предложением, а не толкованием всего международного права. [И03]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ЭТАЛОН ДЛЯ 19 НАПРАВЛЕНИЙ</w:t>
            </w:r>
          </w:p>
          <w:p>
            <w:pPr>
              <w:widowControl/>
              <w:spacing w:after="160"/>
            </w:pPr>
            <w:r>
              <w:t>Каждое направление описывает не только свой отраслевой выпуск, но и понятный человеку результат. Там, где результат нельзя надёжно измерить одной цифрой, используются несколько показателей и содержательная оценка с участием затронутых людей.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03</w:t>
      </w:r>
    </w:p>
    <w:p>
      <w:bookmarkStart w:id="6" w:name="c03"/>
      <w:pPr>
        <w:pStyle w:val="Heading1"/>
      </w:pPr>
      <w:r>
        <w:t>16 Конов — основания совместного действия</w:t>
      </w:r>
      <w:bookmarkEnd w:id="6"/>
    </w:p>
    <w:p>
      <w:pPr>
        <w:pStyle w:val="Small"/>
      </w:pPr>
      <w:r>
        <w:rPr>
          <w:b w:val="0"/>
        </w:rPr>
        <w:t>Слово «Кон» используется как авторское обозначение нравственно-философского основания. Приведённые ниже 16 формулировок — редакционная версия для этой книги, не историческая реконструкция и не установленные физические законы мироздания. Они не смешиваются с балансами и показателями.</w:t>
      </w:r>
    </w:p>
    <w:p>
      <w:pPr>
        <w:pStyle w:val="Heading2"/>
      </w:pPr>
      <w:r>
        <w:rPr>
          <w:color w:val="193C4B"/>
          <w:sz w:val="23"/>
        </w:rPr>
        <w:t>К01. Целостность</w:t>
      </w:r>
    </w:p>
    <w:p>
      <w:r>
        <w:rPr>
          <w:b w:val="0"/>
        </w:rPr>
        <w:t>Решение оценивается вместе с его последствиями для человека, природы и общества. Локальный выигрыш не объявляется общим успехом, пока не раскрыты внешние потери и условия воспроизводства результата.</w:t>
      </w:r>
    </w:p>
    <w:p>
      <w:pPr>
        <w:pStyle w:val="Heading2"/>
      </w:pPr>
      <w:r>
        <w:rPr>
          <w:color w:val="193C4B"/>
          <w:sz w:val="23"/>
        </w:rPr>
        <w:t>К02. Жизнь</w:t>
      </w:r>
    </w:p>
    <w:p>
      <w:r>
        <w:rPr>
          <w:b w:val="0"/>
        </w:rPr>
        <w:t>Сохранение жизни и условий её продолжения принимается как исходный нравственный ориентир. При угрозе необратимого вреда приоритет получают предотвращение опасности, помощь и проверка решения.</w:t>
      </w:r>
    </w:p>
    <w:p>
      <w:pPr>
        <w:pStyle w:val="Heading2"/>
      </w:pPr>
      <w:r>
        <w:rPr>
          <w:color w:val="193C4B"/>
          <w:sz w:val="23"/>
        </w:rPr>
        <w:t>К03. Достоинство</w:t>
      </w:r>
    </w:p>
    <w:p>
      <w:r>
        <w:rPr>
          <w:b w:val="0"/>
        </w:rPr>
        <w:t>Человек не становится собственностью системы, залогом программы или единицей расходного материала. Его права, голос и возможность отказаться сохраняются независимо от полезности для проекта.</w:t>
      </w:r>
    </w:p>
    <w:p>
      <w:pPr>
        <w:pStyle w:val="Heading2"/>
      </w:pPr>
      <w:r>
        <w:rPr>
          <w:color w:val="193C4B"/>
          <w:sz w:val="23"/>
        </w:rPr>
        <w:t>К04. Свобода и ответственность</w:t>
      </w:r>
    </w:p>
    <w:p>
      <w:r>
        <w:rPr>
          <w:b w:val="0"/>
        </w:rPr>
        <w:t>Участие строится на понятном выборе. Свобода действия соединяется с обязанностью раскрывать риски, отвечать за последствия и исправлять причинённый вред в установленном порядке.</w:t>
      </w:r>
    </w:p>
    <w:p>
      <w:pPr>
        <w:pStyle w:val="Heading2"/>
      </w:pPr>
      <w:r>
        <w:rPr>
          <w:color w:val="193C4B"/>
          <w:sz w:val="23"/>
        </w:rPr>
        <w:t>К05. Взаимность</w:t>
      </w:r>
    </w:p>
    <w:p>
      <w:r>
        <w:rPr>
          <w:b w:val="0"/>
        </w:rPr>
        <w:t>Сотрудничество должно быть понятным и справедливым для всех сторон. Вклад, польза, риск и ответственность обсуждаются до начала действия; слабое положение участника не используется для навязывания условий.</w:t>
      </w:r>
    </w:p>
    <w:p>
      <w:pPr>
        <w:pStyle w:val="Heading2"/>
      </w:pPr>
      <w:r>
        <w:rPr>
          <w:color w:val="193C4B"/>
          <w:sz w:val="23"/>
        </w:rPr>
        <w:t>К06. Мера</w:t>
      </w:r>
    </w:p>
    <w:p>
      <w:r>
        <w:rPr>
          <w:b w:val="0"/>
        </w:rPr>
        <w:t>Масштаб решения соотносится с потребностью, ресурсами и пределами среды. Рост количества не подменяет качество, а высокая цель не оправдывает обещаний, для которых нет подтверждённого обеспечения.</w:t>
      </w:r>
    </w:p>
    <w:p>
      <w:pPr>
        <w:pStyle w:val="Heading2"/>
      </w:pPr>
      <w:r>
        <w:rPr>
          <w:color w:val="193C4B"/>
          <w:sz w:val="23"/>
        </w:rPr>
        <w:t>К07. Равновесие</w:t>
      </w:r>
    </w:p>
    <w:p>
      <w:r>
        <w:rPr>
          <w:b w:val="0"/>
        </w:rPr>
        <w:t>Баланс понимается как согласование потребностей, возможностей и восстановления, а не как неподвижность. Допустимый дефицит имеет срок, ответственного и план покрытия, а устойчивость проверяется во времени.</w:t>
      </w:r>
    </w:p>
    <w:p>
      <w:pPr>
        <w:pStyle w:val="Heading2"/>
      </w:pPr>
      <w:r>
        <w:rPr>
          <w:color w:val="193C4B"/>
          <w:sz w:val="23"/>
        </w:rPr>
        <w:t>К08. Разнообразие</w:t>
      </w:r>
    </w:p>
    <w:p>
      <w:r>
        <w:rPr>
          <w:b w:val="0"/>
        </w:rPr>
        <w:t>Единство достигается совместимостью действий, а не одинаковостью людей. Культурные, научные и организационные различия сохраняются, когда не нарушают достоинство и безопасность других.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03 • ПРОДОЛЖЕНИЕ</w:t>
      </w:r>
    </w:p>
    <w:p>
      <w:pPr>
        <w:pStyle w:val="Heading1"/>
      </w:pPr>
      <w:r>
        <w:t>16 Конов — мера, память и будущее</w:t>
      </w:r>
    </w:p>
    <w:p>
      <w:pPr>
        <w:pStyle w:val="Heading2"/>
      </w:pPr>
      <w:r>
        <w:rPr>
          <w:color w:val="193C4B"/>
          <w:sz w:val="23"/>
        </w:rPr>
        <w:t>К09. Правда и проверяемость</w:t>
      </w:r>
    </w:p>
    <w:p>
      <w:r>
        <w:rPr>
          <w:b w:val="0"/>
        </w:rPr>
        <w:t>Наблюдение, мнение, гипотеза, обещание и подтверждённый результат обозначаются по-разному. Ошибка исправляется открыто; ссылка на авторитет или красивый образ не заменяет доказательство.</w:t>
      </w:r>
    </w:p>
    <w:p>
      <w:pPr>
        <w:pStyle w:val="Heading2"/>
      </w:pPr>
      <w:r>
        <w:rPr>
          <w:color w:val="193C4B"/>
          <w:sz w:val="23"/>
        </w:rPr>
        <w:t>К10. Причина и следствие</w:t>
      </w:r>
    </w:p>
    <w:p>
      <w:r>
        <w:rPr>
          <w:b w:val="0"/>
        </w:rPr>
        <w:t>Любое объяснение результата должно раскрывать механизм и альтернативные причины. Совпадение событий не считается доказанным влиянием, а расчёт отделяется от измерения.</w:t>
      </w:r>
    </w:p>
    <w:p>
      <w:pPr>
        <w:pStyle w:val="Heading2"/>
      </w:pPr>
      <w:r>
        <w:rPr>
          <w:color w:val="193C4B"/>
          <w:sz w:val="23"/>
        </w:rPr>
        <w:t>К11. Время и ритм</w:t>
      </w:r>
    </w:p>
    <w:p>
      <w:r>
        <w:rPr>
          <w:b w:val="0"/>
        </w:rPr>
        <w:t>У каждого процесса есть длительность, задержки и условия восстановления. Решения учитывают обслуживание, сезонность и будущие обязательства; краткосрочный эффект не скрывает долгосрочную нагрузку.</w:t>
      </w:r>
    </w:p>
    <w:p>
      <w:pPr>
        <w:pStyle w:val="Heading2"/>
      </w:pPr>
      <w:r>
        <w:rPr>
          <w:color w:val="193C4B"/>
          <w:sz w:val="23"/>
        </w:rPr>
        <w:t>К12. Преемственность</w:t>
      </w:r>
    </w:p>
    <w:p>
      <w:r>
        <w:rPr>
          <w:b w:val="0"/>
        </w:rPr>
        <w:t>Новое развивается без уничтожения памяти о предшествующем. Источники, авторы и версии сохраняются, а пересмотр взглядов документируется как развитие знания, не как стирание истории.</w:t>
      </w:r>
    </w:p>
    <w:p>
      <w:pPr>
        <w:pStyle w:val="Heading2"/>
      </w:pPr>
      <w:r>
        <w:rPr>
          <w:color w:val="193C4B"/>
          <w:sz w:val="23"/>
        </w:rPr>
        <w:t>К13. Созидание</w:t>
      </w:r>
    </w:p>
    <w:p>
      <w:r>
        <w:rPr>
          <w:b w:val="0"/>
        </w:rPr>
        <w:t>Предпочтение получают действия, увеличивающие реальные возможности людей и живых систем. Созидательность подтверждается пользой, доступностью и воспроизводимостью, а не только масштабом заявленного замысла.</w:t>
      </w:r>
    </w:p>
    <w:p>
      <w:pPr>
        <w:pStyle w:val="Heading2"/>
      </w:pPr>
      <w:r>
        <w:rPr>
          <w:color w:val="193C4B"/>
          <w:sz w:val="23"/>
        </w:rPr>
        <w:t>К14. Сотрудничество</w:t>
      </w:r>
    </w:p>
    <w:p>
      <w:r>
        <w:rPr>
          <w:b w:val="0"/>
        </w:rPr>
        <w:t>Сложные задачи решаются разделением труда, обменом знаниями и согласованием интересов. Конкуренция не исключается, но не должна разрушать основы доверия и общие условия жизни.</w:t>
      </w:r>
    </w:p>
    <w:p>
      <w:pPr>
        <w:pStyle w:val="Heading2"/>
      </w:pPr>
      <w:r>
        <w:rPr>
          <w:color w:val="193C4B"/>
          <w:sz w:val="23"/>
        </w:rPr>
        <w:t>К15. Восстановление</w:t>
      </w:r>
    </w:p>
    <w:p>
      <w:r>
        <w:rPr>
          <w:b w:val="0"/>
        </w:rPr>
        <w:t>Нарушение баланса требует не только объяснения, но и исправления. Для каждого значимого воздействия предусматриваются обслуживание, восстановительные действия и источник их ресурсного обеспечения.</w:t>
      </w:r>
    </w:p>
    <w:p>
      <w:pPr>
        <w:pStyle w:val="Heading2"/>
      </w:pPr>
      <w:r>
        <w:rPr>
          <w:color w:val="193C4B"/>
          <w:sz w:val="23"/>
        </w:rPr>
        <w:t>К16. Открытое будущее</w:t>
      </w:r>
    </w:p>
    <w:p>
      <w:r>
        <w:rPr>
          <w:b w:val="0"/>
        </w:rPr>
        <w:t>Книга не объявляет историю завершённой и не лишает будущие поколения выбора. Каждая редакция допускает критику, проверку и изменение при сохранении ответственности за уже принятые обязательства.</w:t>
      </w:r>
    </w:p>
    <w:p>
      <w:pPr>
        <w:pStyle w:val="Small"/>
      </w:pPr>
      <w:r>
        <w:rPr>
          <w:b w:val="0"/>
        </w:rPr>
        <w:t>Применение Конов требует обсуждения конкретных обстоятельств. При столкновении принципов фиксируются затронутые интересы, возможные варианты и основания выбора; отсылка к общему принципу не заменяет ответственное решение.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04</w:t>
      </w:r>
    </w:p>
    <w:p>
      <w:bookmarkStart w:id="7" w:name="c04"/>
      <w:pPr>
        <w:pStyle w:val="Heading1"/>
      </w:pPr>
      <w:r>
        <w:t>Завет Единого Неба — 19 статей</w:t>
      </w:r>
      <w:bookmarkEnd w:id="7"/>
    </w:p>
    <w:p>
      <w:pPr>
        <w:pStyle w:val="Small"/>
      </w:pPr>
      <w:r>
        <w:rPr>
          <w:b w:val="0"/>
        </w:rPr>
        <w:t>Самостоятельный авторский основополагающий текст Белой книги Единой Судьбы. Он не является переводом, сокращением или воспроизведением правового корпуса One-Heaven. Образ Единого Неба выражает общность жизни и открыт для светского прочтения.</w:t>
      </w:r>
    </w:p>
    <w:p>
      <w:r>
        <w:rPr>
          <w:b w:val="0"/>
        </w:rPr>
      </w:r>
      <w:r>
        <w:rPr>
          <w:b/>
        </w:rPr>
        <w:t>Преамбула.</w:t>
      </w:r>
      <w:r>
        <w:rPr>
          <w:b w:val="0"/>
        </w:rPr>
        <w:t xml:space="preserve"> Мы принимаем ответственность за то, что создаём вместе, и выбираем соединять свободу с заботой, знание с проверкой, возможности с мерой, а развитие — с сохранением жизни.</w:t>
      </w:r>
    </w:p>
    <w:p>
      <w:pPr>
        <w:pStyle w:val="Heading2"/>
      </w:pPr>
      <w:r>
        <w:rPr>
          <w:color w:val="193C4B"/>
          <w:sz w:val="23"/>
        </w:rPr>
        <w:t>Статья 1. Единая судьба свободных людей</w:t>
      </w:r>
    </w:p>
    <w:p>
      <w:r>
        <w:rPr>
          <w:b w:val="0"/>
        </w:rPr>
        <w:t>Мы признаём общность условий жизни и взаимную зависимость последствий наших действий. Единство не означает отказа от личности, культуры, веры или самостоятельности сообщества. Мы соединяем усилия ради мира, достоинства и продолжения жизни, не объявляя ни одного человека средством достижения чужого замысла.</w:t>
      </w:r>
    </w:p>
    <w:p>
      <w:pPr>
        <w:pStyle w:val="Small"/>
      </w:pPr>
      <w:r>
        <w:rPr>
          <w:b w:val="0"/>
        </w:rPr>
        <w:t>Практическое выражение: Каждая программа раскрывает, кому приносит пользу, кого затрагивает и каким образом учитывает возражения.</w:t>
      </w:r>
    </w:p>
    <w:p>
      <w:pPr>
        <w:pStyle w:val="Heading2"/>
      </w:pPr>
      <w:r>
        <w:rPr>
          <w:color w:val="193C4B"/>
          <w:sz w:val="23"/>
        </w:rPr>
        <w:t>Статья 2. Неприкосновенность достоинства</w:t>
      </w:r>
    </w:p>
    <w:p>
      <w:r>
        <w:rPr>
          <w:b w:val="0"/>
        </w:rPr>
        <w:t>Достоинство человека не определяется богатством, происхождением, возрастом, состоянием здоровья, убеждениями или участием в проекте. Никто не должен становиться предметом торговли, цифровым залогом или источником обязательств без действительного основания. Система служит человеку и сохраняет его право на объяснение и защиту.</w:t>
      </w:r>
    </w:p>
    <w:p>
      <w:pPr>
        <w:pStyle w:val="Small"/>
      </w:pPr>
      <w:r>
        <w:rPr>
          <w:b w:val="0"/>
        </w:rPr>
        <w:t>Практическое выражение: В паспорте проекта фиксируются ограничения использования персональных данных и независимый путь рассмотрения жалобы.</w:t>
      </w:r>
    </w:p>
    <w:p>
      <w:pPr>
        <w:pStyle w:val="Heading2"/>
      </w:pPr>
      <w:r>
        <w:rPr>
          <w:color w:val="193C4B"/>
          <w:sz w:val="23"/>
        </w:rPr>
        <w:t>Статья 3. Мир как способ совместного действия</w:t>
      </w:r>
    </w:p>
    <w:p>
      <w:r>
        <w:rPr>
          <w:b w:val="0"/>
        </w:rPr>
        <w:t>Мы выбираем предупреждение насилия, переговоры, помощь пострадавшим и восстановление разрушенных связей. Мир не сводится к заявлению: он требует безопасного доступа к базовым благам, разрешения споров и отказа от коллективной вины. Любое сотрудничество строится без принуждения к участию в политическом или духовном единомыслии.</w:t>
      </w:r>
    </w:p>
    <w:p>
      <w:pPr>
        <w:pStyle w:val="Small"/>
      </w:pPr>
      <w:r>
        <w:rPr>
          <w:b w:val="0"/>
        </w:rPr>
        <w:t>Практическое выражение: Миротворческие предложения имеют гражданский характер, прозрачный мандат и согласованные правила безопасности.</w:t>
      </w:r>
    </w:p>
    <w:p>
      <w:pPr>
        <w:pStyle w:val="Heading2"/>
      </w:pPr>
      <w:r>
        <w:rPr>
          <w:color w:val="193C4B"/>
          <w:sz w:val="23"/>
        </w:rPr>
        <w:t>Статья 4. Свобода совести и добровольное участие</w:t>
      </w:r>
    </w:p>
    <w:p>
      <w:r>
        <w:rPr>
          <w:b w:val="0"/>
        </w:rPr>
        <w:t>Участник вправе разделять цели книги, не принимая её образный или духовный язык. Присоединение к программе основывается на понятных условиях и допускает выход с урегулированием реально принятых обязательств. Ни символ, ни регистрация, ни молчание человека не заменяют выраженного согласия.</w:t>
      </w:r>
    </w:p>
    <w:p>
      <w:pPr>
        <w:pStyle w:val="Small"/>
      </w:pPr>
      <w:r>
        <w:rPr>
          <w:b w:val="0"/>
        </w:rPr>
        <w:t>Практическое выражение: Участник получает понятное описание условий, сроков, рисков и порядка прекращения участия.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04 • ПРОДОЛЖЕНИЕ</w:t>
      </w:r>
    </w:p>
    <w:p>
      <w:pPr>
        <w:pStyle w:val="Heading1"/>
      </w:pPr>
      <w:r>
        <w:t>Завет Единого Неба • статьи 5–9</w:t>
      </w:r>
    </w:p>
    <w:p>
      <w:pPr>
        <w:pStyle w:val="Heading2"/>
      </w:pPr>
      <w:r>
        <w:rPr>
          <w:color w:val="193C4B"/>
          <w:sz w:val="23"/>
        </w:rPr>
        <w:t>Статья 5. Дети и будущие поколения</w:t>
      </w:r>
    </w:p>
    <w:p>
      <w:r>
        <w:rPr>
          <w:b w:val="0"/>
        </w:rPr>
        <w:t>Мы оцениваем развитие по условиям, которые оно оставляет детям. Забота о ребёнке соединяет безопасность, любовь, доступ к знаниям и уважение к его взрослению. Будущие поколения не участвуют в сегодняшнем голосовании, поэтому их интересы должны быть представлены в оценке долгосрочных решений.</w:t>
      </w:r>
    </w:p>
    <w:p>
      <w:pPr>
        <w:pStyle w:val="Small"/>
      </w:pPr>
      <w:r>
        <w:rPr>
          <w:b w:val="0"/>
        </w:rPr>
        <w:t>Практическое выражение: Проекты раскрывают последствия для детства и обязательства по обслуживанию объектов после завершения финансирования.</w:t>
      </w:r>
    </w:p>
    <w:p>
      <w:pPr>
        <w:pStyle w:val="Heading2"/>
      </w:pPr>
      <w:r>
        <w:rPr>
          <w:color w:val="193C4B"/>
          <w:sz w:val="23"/>
        </w:rPr>
        <w:t>Статья 6. Здоровье и самостоятельность</w:t>
      </w:r>
    </w:p>
    <w:p>
      <w:r>
        <w:rPr>
          <w:b w:val="0"/>
        </w:rPr>
        <w:t>Цель помощи — не только устранение препятствий, но и расширение возможностей человека жить, учиться, трудиться и участвовать в сообществе. Мы соединяем профилактику, доступную среду и профессиональную реабилитацию, сохраняя личный выбор и конфиденциальность. Обещание результата не подменяет проверку безопасности и эффективности.</w:t>
      </w:r>
    </w:p>
    <w:p>
      <w:pPr>
        <w:pStyle w:val="Small"/>
      </w:pPr>
      <w:r>
        <w:rPr>
          <w:b w:val="0"/>
        </w:rPr>
        <w:t>Практическое выражение: Критерии результата согласуются с человеком и специалистами; ожидания и фактически достигнутые изменения отражаются отдельно.</w:t>
      </w:r>
    </w:p>
    <w:p>
      <w:pPr>
        <w:pStyle w:val="Heading2"/>
      </w:pPr>
      <w:r>
        <w:rPr>
          <w:color w:val="193C4B"/>
          <w:sz w:val="23"/>
        </w:rPr>
        <w:t>Статья 7. Живая Земля</w:t>
      </w:r>
    </w:p>
    <w:p>
      <w:r>
        <w:rPr>
          <w:b w:val="0"/>
        </w:rPr>
        <w:t>Биосфера рассматривается как условие существования цивилизации, а не как безграничный склад. Мы сохраняем разнообразие живых систем и учитываем способность территории к восстановлению. Вмешательство должно иметь понятные границы, мониторинг и ответственного за последствия.</w:t>
      </w:r>
    </w:p>
    <w:p>
      <w:pPr>
        <w:pStyle w:val="Small"/>
      </w:pPr>
      <w:r>
        <w:rPr>
          <w:b w:val="0"/>
        </w:rPr>
        <w:t>Практическое выражение: Природные проекты ведут пространственный учёт исходного состояния, изменений и восстановительных действий.</w:t>
      </w:r>
    </w:p>
    <w:p>
      <w:pPr>
        <w:pStyle w:val="Heading2"/>
      </w:pPr>
      <w:r>
        <w:rPr>
          <w:color w:val="193C4B"/>
          <w:sz w:val="23"/>
        </w:rPr>
        <w:t>Статья 8. Вода и пища</w:t>
      </w:r>
    </w:p>
    <w:p>
      <w:r>
        <w:rPr>
          <w:b w:val="0"/>
        </w:rPr>
        <w:t>Доступ к воде и полноценному питанию принимается как первоочередная задача программ развития. Мы соединяем надёжность поставки, безопасность, доступность и бережное отношение к источникам. Улучшение снабжения людей не должно достигаться скрытым истощением водных систем и почв.</w:t>
      </w:r>
    </w:p>
    <w:p>
      <w:pPr>
        <w:pStyle w:val="Small"/>
      </w:pPr>
      <w:r>
        <w:rPr>
          <w:b w:val="0"/>
        </w:rPr>
        <w:t>Практическое выражение: Результат подтверждается данными о доступе, качестве, потерях и состоянии источников, а не одним объёмом производства.</w:t>
      </w:r>
    </w:p>
    <w:p>
      <w:pPr>
        <w:pStyle w:val="Heading2"/>
      </w:pPr>
      <w:r>
        <w:rPr>
          <w:color w:val="193C4B"/>
          <w:sz w:val="23"/>
        </w:rPr>
        <w:t>Статья 9. Знание и образование</w:t>
      </w:r>
    </w:p>
    <w:p>
      <w:r>
        <w:rPr>
          <w:b w:val="0"/>
        </w:rPr>
        <w:t>Мы поддерживаем право человека учиться, задавать вопросы, проверять основания и передавать мастерство. Знание сохраняет авторство и открывается обществу в пределах согласованных прав и безопасности. Образование направлено на понимание, самостоятельность и способность действовать, а не только на получение документа.</w:t>
      </w:r>
    </w:p>
    <w:p>
      <w:pPr>
        <w:pStyle w:val="Small"/>
      </w:pPr>
      <w:r>
        <w:rPr>
          <w:b w:val="0"/>
        </w:rPr>
        <w:t>Практическое выражение: Учебные программы задают проверяемые результаты освоения и доступные маршруты участия для разных групп.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04 • ПРОДОЛЖЕНИЕ</w:t>
      </w:r>
    </w:p>
    <w:p>
      <w:pPr>
        <w:pStyle w:val="Heading1"/>
      </w:pPr>
      <w:r>
        <w:t>Завет Единого Неба • статьи 10–14</w:t>
      </w:r>
    </w:p>
    <w:p>
      <w:pPr>
        <w:pStyle w:val="Heading2"/>
      </w:pPr>
      <w:r>
        <w:rPr>
          <w:color w:val="193C4B"/>
          <w:sz w:val="23"/>
        </w:rPr>
        <w:t>Статья 10. Наука и добросовестное исследование</w:t>
      </w:r>
    </w:p>
    <w:p>
      <w:r>
        <w:rPr>
          <w:b w:val="0"/>
        </w:rPr>
        <w:t>Смелость замысла соединяется с дисциплиной проверки. Гипотеза имеет право на исследование, но становится основанием массового применения лишь после достаточного подтверждения в соответствующей области. Мы сохраняем методы, ограничения и отрицательные результаты, чтобы последующие решения могли стать точнее.</w:t>
      </w:r>
    </w:p>
    <w:p>
      <w:pPr>
        <w:pStyle w:val="Small"/>
      </w:pPr>
      <w:r>
        <w:rPr>
          <w:b w:val="0"/>
        </w:rPr>
        <w:t>Практическое выражение: Исследовательский паспорт отделяет предположение, модель, испытание, независимое воспроизведение и эксплуатационный результат.</w:t>
      </w:r>
    </w:p>
    <w:p>
      <w:pPr>
        <w:pStyle w:val="Heading2"/>
      </w:pPr>
      <w:r>
        <w:rPr>
          <w:color w:val="193C4B"/>
          <w:sz w:val="23"/>
        </w:rPr>
        <w:t>Статья 11. Труд и созидательная экономика</w:t>
      </w:r>
    </w:p>
    <w:p>
      <w:r>
        <w:rPr>
          <w:b w:val="0"/>
        </w:rPr>
        <w:t>Мы стремимся к труду, который обеспечивает достойную жизнь, сохраняет здоровье и развивает мастерство. Предпринимательство и кооперация должны расширять возможности человека, а не превращать зависимость в условие выживания. Успех оценивается качеством продукта, справедливостью отношений и устойчивостью деятельности.</w:t>
      </w:r>
    </w:p>
    <w:p>
      <w:pPr>
        <w:pStyle w:val="Small"/>
      </w:pPr>
      <w:r>
        <w:rPr>
          <w:b w:val="0"/>
        </w:rPr>
        <w:t>Практическое выражение: В проекте раскрываются условия труда, подготовка кадров, порядок оплаты и показатели безопасности.</w:t>
      </w:r>
    </w:p>
    <w:p>
      <w:pPr>
        <w:pStyle w:val="Heading2"/>
      </w:pPr>
      <w:r>
        <w:rPr>
          <w:color w:val="193C4B"/>
          <w:sz w:val="23"/>
        </w:rPr>
        <w:t>Статья 12. Энергия и материальная ответственность</w:t>
      </w:r>
    </w:p>
    <w:p>
      <w:r>
        <w:rPr>
          <w:b w:val="0"/>
        </w:rPr>
        <w:t>Энергия, материалы и инфраструктура служат жизни и развитию. Мы поддерживаем решения, чьи характеристики подтверждаются испытаниями, а ресурсный цикл учитывает изготовление, эксплуатацию, ремонт и завершение службы. Ни обещанная мощность, ни цифровая запись не заменяют реально доступную поставку.</w:t>
      </w:r>
    </w:p>
    <w:p>
      <w:pPr>
        <w:pStyle w:val="Small"/>
      </w:pPr>
      <w:r>
        <w:rPr>
          <w:b w:val="0"/>
        </w:rPr>
        <w:t>Практическое выражение: В паспортах отдельно указываются измеренные показатели, проектные допущения и обязательства по обслуживанию.</w:t>
      </w:r>
    </w:p>
    <w:p>
      <w:pPr>
        <w:pStyle w:val="Heading2"/>
      </w:pPr>
      <w:r>
        <w:rPr>
          <w:color w:val="193C4B"/>
          <w:sz w:val="23"/>
        </w:rPr>
        <w:t>Статья 13. Финансы как средство обеспечения</w:t>
      </w:r>
    </w:p>
    <w:p>
      <w:r>
        <w:rPr>
          <w:b w:val="0"/>
        </w:rPr>
        <w:t>Деньги и финансовые инструменты должны связывать ресурсы с понятными действиями и результатами. Мы различаем наличные средства, обещания, права и обязательства, не создавая обеспеченность одним названием или символом. Каждый участник должен понимать, чем он распоряжается, какие риски принимает и на каком основании.</w:t>
      </w:r>
    </w:p>
    <w:p>
      <w:pPr>
        <w:pStyle w:val="Small"/>
      </w:pPr>
      <w:r>
        <w:rPr>
          <w:b w:val="0"/>
        </w:rPr>
        <w:t>Практическое выражение: В реестре финансирования фиксируются источник, владелец, назначение, срок, ограничения и подтверждающий документ.</w:t>
      </w:r>
    </w:p>
    <w:p>
      <w:pPr>
        <w:pStyle w:val="Heading2"/>
      </w:pPr>
      <w:r>
        <w:rPr>
          <w:color w:val="193C4B"/>
          <w:sz w:val="23"/>
        </w:rPr>
        <w:t>Статья 14. Кооперация и взаимная поддержка</w:t>
      </w:r>
    </w:p>
    <w:p>
      <w:r>
        <w:rPr>
          <w:b w:val="0"/>
        </w:rPr>
        <w:t>Мы соединяем личную инициативу с возможностью действовать вместе. Кооператив, фонд, предприятие и общественное объединение имеют ясные роли, внутренние правила и подотчётность участникам. Общность цели не отменяет самостоятельности участников и не даёт права произвольно распоряжаться их имуществом.</w:t>
      </w:r>
    </w:p>
    <w:p>
      <w:pPr>
        <w:pStyle w:val="Small"/>
      </w:pPr>
      <w:r>
        <w:rPr>
          <w:b w:val="0"/>
        </w:rPr>
        <w:t>Практическое выражение: Вклад и распределение результата описываются заранее; конфликт интересов раскрывается до принятия решения.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04 • ПРОДОЛЖЕНИЕ</w:t>
      </w:r>
    </w:p>
    <w:p>
      <w:pPr>
        <w:pStyle w:val="Heading1"/>
      </w:pPr>
      <w:r>
        <w:t>Завет Единого Неба • статьи 15–19</w:t>
      </w:r>
    </w:p>
    <w:p>
      <w:pPr>
        <w:pStyle w:val="Heading2"/>
      </w:pPr>
      <w:r>
        <w:rPr>
          <w:color w:val="193C4B"/>
          <w:sz w:val="23"/>
        </w:rPr>
        <w:t>Статья 15. Культура и память</w:t>
      </w:r>
    </w:p>
    <w:p>
      <w:r>
        <w:rPr>
          <w:b w:val="0"/>
        </w:rPr>
        <w:t>Мы сохраняем языки, наследие, художественное творчество и память о пройденном пути. Общая книга не стирает различий и не присваивает чужие источники. Передача знания предполагает уважение к создателям, сообществам и условиям доступа.</w:t>
      </w:r>
    </w:p>
    <w:p>
      <w:pPr>
        <w:pStyle w:val="Small"/>
      </w:pPr>
      <w:r>
        <w:rPr>
          <w:b w:val="0"/>
        </w:rPr>
        <w:t>Практическое выражение: Каждая запись наследия получает происхождение, автора или носителя традиции, условия использования и историю изменений.</w:t>
      </w:r>
    </w:p>
    <w:p>
      <w:pPr>
        <w:pStyle w:val="Heading2"/>
      </w:pPr>
      <w:r>
        <w:rPr>
          <w:color w:val="193C4B"/>
          <w:sz w:val="23"/>
        </w:rPr>
        <w:t>Статья 16. Право и подотчётное управление</w:t>
      </w:r>
    </w:p>
    <w:p>
      <w:r>
        <w:rPr>
          <w:b w:val="0"/>
        </w:rPr>
        <w:t>Власть внутри проектных институтов ограничивается понятным мандатом и процедурой контроля. Решение должно иметь основание, ответственного и возможность пересмотра. Мы не подменяем действующие публичные институты самопровозглашённым статусом и не выдаём внутренний реестр за универсальную юрисдикцию.</w:t>
      </w:r>
    </w:p>
    <w:p>
      <w:pPr>
        <w:pStyle w:val="Small"/>
      </w:pPr>
      <w:r>
        <w:rPr>
          <w:b w:val="0"/>
        </w:rPr>
        <w:t>Практическое выражение: Перед исполнением значимого решения проверяются полномочия, применимые правила и порядок защиты затронутых лиц.</w:t>
      </w:r>
    </w:p>
    <w:p>
      <w:pPr>
        <w:pStyle w:val="Heading2"/>
      </w:pPr>
      <w:r>
        <w:rPr>
          <w:color w:val="193C4B"/>
          <w:sz w:val="23"/>
        </w:rPr>
        <w:t>Статья 17. Данные, технологии и личная свобода</w:t>
      </w:r>
    </w:p>
    <w:p>
      <w:r>
        <w:rPr>
          <w:b w:val="0"/>
        </w:rPr>
        <w:t>Цифровая система помогает видеть связи и ошибки, но не становится владельцем человеческой судьбы. Искусственный интеллект поддерживает анализ и не освобождает людей от ответственности. Доступ к данным ограничивается целью; человек должен знать, как оспорить существенно затрагивающее его решение.</w:t>
      </w:r>
    </w:p>
    <w:p>
      <w:pPr>
        <w:pStyle w:val="Small"/>
      </w:pPr>
      <w:r>
        <w:rPr>
          <w:b w:val="0"/>
        </w:rPr>
        <w:t>Практическое выражение: Журнал фиксирует происхождение данных, версию модели, человеческое решение и возможность исправления записи.</w:t>
      </w:r>
    </w:p>
    <w:p>
      <w:pPr>
        <w:pStyle w:val="Heading2"/>
      </w:pPr>
      <w:r>
        <w:rPr>
          <w:color w:val="193C4B"/>
          <w:sz w:val="23"/>
        </w:rPr>
        <w:t>Статья 18. Связанные балансы и честный результат</w:t>
      </w:r>
    </w:p>
    <w:p>
      <w:r>
        <w:rPr>
          <w:b w:val="0"/>
        </w:rPr>
        <w:t>Мы оцениваем действие через его влияние на несколько взаимосвязанных сторон жизни. Положительный показатель не скрывает ухудшения в другом месте, а общая отчётность не складывает несопоставимые величины. Обещанный эффект, измеренное изменение и доказанный вклад программы отражаются раздельно.</w:t>
      </w:r>
    </w:p>
    <w:p>
      <w:pPr>
        <w:pStyle w:val="Small"/>
      </w:pPr>
      <w:r>
        <w:rPr>
          <w:b w:val="0"/>
        </w:rPr>
        <w:t>Практическое выражение: Результат принимается вместе с источниками, методикой, оценкой неопределённости и перечнем побочных последствий.</w:t>
      </w:r>
    </w:p>
    <w:p>
      <w:pPr>
        <w:pStyle w:val="Heading2"/>
      </w:pPr>
      <w:r>
        <w:rPr>
          <w:color w:val="193C4B"/>
          <w:sz w:val="23"/>
        </w:rPr>
        <w:t>Статья 19. Преемственность и открытое будущее</w:t>
      </w:r>
    </w:p>
    <w:p>
      <w:r>
        <w:rPr>
          <w:b w:val="0"/>
        </w:rPr>
        <w:t>Белая книга является живым обязательством учиться и исправлять решения, а не окончательным ответом за всех. Мы сохраняем память о версиях, принимаем обоснованную критику и оставляем новым поколениям пространство выбора. Единую судьбу создаёт не единый приказ, а последовательность ответственных и согласованных действий.</w:t>
      </w:r>
    </w:p>
    <w:p>
      <w:pPr>
        <w:pStyle w:val="Small"/>
      </w:pPr>
      <w:r>
        <w:rPr>
          <w:b w:val="0"/>
        </w:rPr>
        <w:t>Практическое выражение: Каждая новая редакция содержит основания изменений, сохранённые обязательства и доступную историю обсуждения.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05</w:t>
      </w:r>
    </w:p>
    <w:p>
      <w:bookmarkStart w:id="8" w:name="c05"/>
      <w:pPr>
        <w:pStyle w:val="Heading1"/>
      </w:pPr>
      <w:r>
        <w:t>Планетарный лотос и Кристалл 741</w:t>
      </w:r>
      <w:bookmarkEnd w:id="8"/>
    </w:p>
    <w:p>
      <w:r>
        <w:rPr>
          <w:b w:val="0"/>
        </w:rPr>
        <w:t>«Планетарный лотос» и «Три цветка жизни» сохраняются как образ целостности проекта. Их задача — помочь видеть взаимосвязи; геометрия символа не доказывает физические свойства мира и не заменяет измерения. Для практической работы предлагается следующая смысловая развёртка трёх Сфер.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835"/>
        <w:gridCol w:w="6917"/>
      </w:tblGrid>
      <w:tr>
        <w:trPr>
          <w:tblHeader w:val="true"/>
        </w:trPr>
        <w:tc>
          <w:tcPr>
            <w:tcW w:type="dxa" w:w="283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Сфера</w:t>
            </w:r>
          </w:p>
        </w:tc>
        <w:tc>
          <w:tcPr>
            <w:tcW w:type="dxa" w:w="691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Что она проверяет в каждом из 19 направлений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S1. Человек и сообщества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Достоинство, потребности, доступность, способности, труд, культуру и качество жизни.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S2. Биосфера и территория</w:t>
            </w:r>
          </w:p>
        </w:tc>
        <w:tc>
          <w:tcPr>
            <w:tcW w:type="dxa" w:w="691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Ресурсы, пространственные границы, состояние живых систем, пределы и восстановление.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S3. Знание и цивилизация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Технологии, институты, инфраструктуру, данные, кооперацию и способность поддерживать результат.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r>
        <w:rPr>
          <w:b w:val="0"/>
        </w:rPr>
        <w:t>Каждая Сфера рассматривает те же 19 направлений под своим углом. Это даёт 57 смысловых узлов, а не 57 независимых отраслей. Один водный проект одновременно относится к доступу человека, состоянию водоисточника и технологии снабжения. Его объём воды при этом учитывается только один раз.</w:t>
      </w:r>
    </w:p>
    <w:p>
      <w:pPr>
        <w:pStyle w:val="Heading2"/>
      </w:pPr>
      <w:r>
        <w:t>Три разных числа — три разных назначения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268"/>
        <w:gridCol w:w="2324"/>
        <w:gridCol w:w="5159"/>
      </w:tblGrid>
      <w:tr>
        <w:trPr>
          <w:tblHeader w:val="true"/>
        </w:trPr>
        <w:tc>
          <w:tcPr>
            <w:tcW w:type="dxa" w:w="226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Конструкция</w:t>
            </w:r>
          </w:p>
        </w:tc>
        <w:tc>
          <w:tcPr>
            <w:tcW w:type="dxa" w:w="232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Расчёт</w:t>
            </w:r>
          </w:p>
        </w:tc>
        <w:tc>
          <w:tcPr>
            <w:tcW w:type="dxa" w:w="5159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Назначение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Три Сферы</w:t>
            </w:r>
          </w:p>
        </w:tc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3 × 19 = 57</w:t>
            </w:r>
          </w:p>
        </w:tc>
        <w:tc>
          <w:tcPr>
            <w:tcW w:type="dxa" w:w="515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Смысловые представления направлений.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Кристалл 741</w:t>
            </w:r>
          </w:p>
        </w:tc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3 × 19 × 13 = 741</w:t>
            </w:r>
          </w:p>
        </w:tc>
        <w:tc>
          <w:tcPr>
            <w:tcW w:type="dxa" w:w="515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Поля структурированного описания 57 узлов.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Измерительный контур</w:t>
            </w:r>
          </w:p>
        </w:tc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13 × 20 = 260</w:t>
            </w:r>
          </w:p>
        </w:tc>
        <w:tc>
          <w:tcPr>
            <w:tcW w:type="dxa" w:w="515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Позиции реестра показателей; отдельная структура.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13 полей узла Кристалла</w:t>
      </w:r>
    </w:p>
    <w:p>
      <w:r>
        <w:rPr>
          <w:b w:val="0"/>
        </w:rPr>
        <w:t>Цель; объект; границы; потребность; доступная возможность; потоки; ответственность; доказательства; риски; решение; ресурсное обеспечение; результат; обратная связь. Ключ записи: S{сфера}-D{направление}-F{поле}. Например, S2-D04-F08 обозначает доказательства по водному направлению в биосферном представлении.</w:t>
      </w:r>
    </w:p>
    <w:p>
      <w:r>
        <w:rPr>
          <w:b w:val="0"/>
        </w:rPr>
        <w:t>Эти 13 полей — предлагаемый формат паспорта, а не 13 показателей главы 09. Равное количество элементов не делает структуры тождественными. Для обмена данными устанавливаются явные ссылки между полем паспорта и нужными показателями.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ПРАВИЛО СОХРАНЕНИЯ СМЫСЛА</w:t>
            </w:r>
          </w:p>
          <w:p>
            <w:pPr>
              <w:widowControl/>
              <w:spacing w:after="160"/>
            </w:pPr>
            <w:r>
              <w:t>16 Конов задают нравственные основания; 19 статей — общее обязательство; 19 направлений — предмет работы; 19 балансов — контроль взаимосвязей; 741 и 260 — разные схемы организации информации.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06</w:t>
      </w:r>
    </w:p>
    <w:p>
      <w:bookmarkStart w:id="9" w:name="c06"/>
      <w:pPr>
        <w:pStyle w:val="Heading1"/>
      </w:pPr>
      <w:r>
        <w:t>Семь уровней: от принципа к балансу</w:t>
      </w:r>
      <w:bookmarkEnd w:id="9"/>
    </w:p>
    <w:p>
      <w:r>
        <w:rPr>
          <w:b w:val="0"/>
        </w:rPr>
        <w:t>Предлагаемая семиуровневая система связывает ценности с учётом и действием. Она разработана для этой книги и не объявляется восстановленной технической архитектурой One-Heaven. Важен не сам счёт уровней, а отсутствие разрывов между ними.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701"/>
        <w:gridCol w:w="3458"/>
        <w:gridCol w:w="4592"/>
      </w:tblGrid>
      <w:tr>
        <w:trPr>
          <w:tblHeader w:val="true"/>
        </w:trPr>
        <w:tc>
          <w:tcPr>
            <w:tcW w:type="dxa" w:w="170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Уровень</w:t>
            </w:r>
          </w:p>
        </w:tc>
        <w:tc>
          <w:tcPr>
            <w:tcW w:type="dxa" w:w="345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Содержание</w:t>
            </w:r>
          </w:p>
        </w:tc>
        <w:tc>
          <w:tcPr>
            <w:tcW w:type="dxa" w:w="459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Проверяемый выход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L1. Основание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Цель, ценность и допустимые ограничения.</w:t>
            </w:r>
          </w:p>
        </w:tc>
        <w:tc>
          <w:tcPr>
            <w:tcW w:type="dxa" w:w="459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Утверждённое основание проекта и перечень недопустимого вреда.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L2. Объект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Кого и что затрагивает действие; где проходит граница.</w:t>
            </w:r>
          </w:p>
        </w:tc>
        <w:tc>
          <w:tcPr>
            <w:tcW w:type="dxa" w:w="459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Паспорт объекта, территории или группы участников.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L3. Правомочность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Права, согласие, ответственность и полномочия.</w:t>
            </w:r>
          </w:p>
        </w:tc>
        <w:tc>
          <w:tcPr>
            <w:tcW w:type="dxa" w:w="459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Согласованные роли и документы, достаточные для действия.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L4. Решение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Варианты, критерии выбора, сроки и обязательства.</w:t>
            </w:r>
          </w:p>
        </w:tc>
        <w:tc>
          <w:tcPr>
            <w:tcW w:type="dxa" w:w="459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Запись решения с ресурсным обеспечением и условиями остановки.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L5. Событие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Действие и наблюдение фактических изменений.</w:t>
            </w:r>
          </w:p>
        </w:tc>
        <w:tc>
          <w:tcPr>
            <w:tcW w:type="dxa" w:w="459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Событийная запись, измерение или первичный документ.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L6. Проверка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Метод, происхождение данных, независимая оценка.</w:t>
            </w:r>
          </w:p>
        </w:tc>
        <w:tc>
          <w:tcPr>
            <w:tcW w:type="dxa" w:w="459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Заключение с ограничениями и статусом подтверждения.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L7. Баланс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Изменение состояния, обязательств и следующего решения.</w:t>
            </w:r>
          </w:p>
        </w:tc>
        <w:tc>
          <w:tcPr>
            <w:tcW w:type="dxa" w:w="459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Обновлённые балансы и поручение на следующий цикл.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Переход между уровнями</w:t>
      </w:r>
    </w:p>
    <w:p>
      <w:r>
        <w:rPr>
          <w:b w:val="0"/>
        </w:rPr>
        <w:t>У каждого перехода есть обязательный вопрос. Достаточно ли определён объект? Есть ли полномочия? Подтверждено ли обеспечение? Можно ли восстановить происхождение данных? Не перенесён ли ущерб в другой баланс? Отсутствие ответа возвращает работу на предыдущий уровень, а не маскируется красивым итоговым показателем.</w:t>
      </w:r>
    </w:p>
    <w:p>
      <w:pPr>
        <w:pStyle w:val="Heading2"/>
      </w:pPr>
      <w:r>
        <w:t>Отдельно от ISO/OSI</w:t>
      </w:r>
    </w:p>
    <w:p>
      <w:r>
        <w:rPr>
          <w:b w:val="0"/>
        </w:rPr>
        <w:t>ISO/IEC 7498-1:1994 описывает базовую модель взаимодействия открытых систем и предназначен для согласования стандартов системного взаимодействия. Это иная предметная область. Семь уровней проектного управления не дают оснований заявлять соответствие ISO/OSI или наличие сертификации. [И02]</w:t>
      </w:r>
    </w:p>
    <w:p>
      <w:pPr>
        <w:pStyle w:val="Heading2"/>
      </w:pPr>
      <w:r>
        <w:t>Пример прохождения</w:t>
      </w:r>
    </w:p>
    <w:p>
      <w:r>
        <w:rPr>
          <w:b w:val="0"/>
        </w:rPr>
        <w:t>Принцип доступной воды → конкретный водозабор и потребители → оператор и согласованные права → программа снижения потерь → показания приборов → проверка сопоставимости → обновление водного, энергетического и финансового балансов. Седьмой уровень возвращает результат к первоначальной потребности: стала ли услуга надёжнее и доступнее?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07</w:t>
      </w:r>
    </w:p>
    <w:p>
      <w:bookmarkStart w:id="10" w:name="c07"/>
      <w:pPr>
        <w:pStyle w:val="Heading1"/>
      </w:pPr>
      <w:r>
        <w:t>19 направлений Нового Мирового Уклада</w:t>
      </w:r>
      <w:bookmarkEnd w:id="10"/>
    </w:p>
    <w:p>
      <w:pPr>
        <w:pStyle w:val="Small"/>
      </w:pPr>
      <w:r>
        <w:rPr>
          <w:b w:val="0"/>
        </w:rPr>
        <w:t>Это рабочий классификатор редакции 1.0, предложенный для согласования с паспортами прежних программ. Он собирает известные темы проекта, но не переименовывает автоматически исходные документы. Направление отвечает на вопрос «что меняем», баланс — «как учитываем состояние и последствия».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595"/>
        <w:gridCol w:w="3090"/>
        <w:gridCol w:w="4706"/>
        <w:gridCol w:w="1361"/>
      </w:tblGrid>
      <w:tr>
        <w:trPr>
          <w:tblHeader w:val="true"/>
        </w:trPr>
        <w:tc>
          <w:tcPr>
            <w:tcW w:type="dxa" w:w="59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Код</w:t>
            </w:r>
          </w:p>
        </w:tc>
        <w:tc>
          <w:tcPr>
            <w:tcW w:type="dxa" w:w="309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Направление</w:t>
            </w:r>
          </w:p>
        </w:tc>
        <w:tc>
          <w:tcPr>
            <w:tcW w:type="dxa" w:w="4706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Целевой смысл</w:t>
            </w:r>
          </w:p>
        </w:tc>
        <w:tc>
          <w:tcPr>
            <w:tcW w:type="dxa" w:w="136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Основные балансы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D01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Человек, здоровье и реабилитация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Самостоятельность человека и доступная помощь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B12, B13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D02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Дети, семья и преемственность поколений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Безопасное детство и поддержка свободного выбора семьи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B01, B13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D03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Преодоление бедности и социальная поддержка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Доступ к базовым благам без исключения людей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B13, B07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D04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Вода и водный баланс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Надёжная вода для людей и живых систем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B03, B02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D05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Климат, живая почва и биоценозы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Сохранение и восстановление природных функций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B02, B05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D06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Продовольствие и питание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Доступное, безопасное и устойчивое обеспечение пищей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B05, B12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D07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Достойный труд и доход семьи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Безопасный труд, навыки и экономическая самостоятельность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B09, B13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D08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Предпринимательство и кооперация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Жизнеспособные предприятия и взаимовыгодные связи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B14, B09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D09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Образование и Города Знания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Обучение на протяжении жизни и передача мастерства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B10, B11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D10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Наука и технологическое развитие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Проверяемое знание и воспроизводимые технологии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B11, B06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Программы могут пересекать направления</w:t>
      </w:r>
    </w:p>
    <w:p>
      <w:r>
        <w:rPr>
          <w:b w:val="0"/>
        </w:rPr>
        <w:t>«Второе дыхание» связывает D01, D07, D10 и D12. «Кооперация и профсоюзы» соединяет D07, D08 и D18. «Знания и Энергия» связывает D09, D10 и D11. Главным остаётся результат для человека или территории, а не ведомственная принадлежность.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07 • ПРОДОЛЖЕНИЕ</w:t>
      </w:r>
    </w:p>
    <w:p>
      <w:pPr>
        <w:pStyle w:val="Heading1"/>
      </w:pPr>
      <w:r>
        <w:t>19 направлений • технологии и институты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595"/>
        <w:gridCol w:w="3090"/>
        <w:gridCol w:w="4706"/>
        <w:gridCol w:w="1361"/>
      </w:tblGrid>
      <w:tr>
        <w:trPr>
          <w:tblHeader w:val="true"/>
        </w:trPr>
        <w:tc>
          <w:tcPr>
            <w:tcW w:type="dxa" w:w="59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Код</w:t>
            </w:r>
          </w:p>
        </w:tc>
        <w:tc>
          <w:tcPr>
            <w:tcW w:type="dxa" w:w="309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Направление</w:t>
            </w:r>
          </w:p>
        </w:tc>
        <w:tc>
          <w:tcPr>
            <w:tcW w:type="dxa" w:w="4706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Целевой смысл</w:t>
            </w:r>
          </w:p>
        </w:tc>
        <w:tc>
          <w:tcPr>
            <w:tcW w:type="dxa" w:w="136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Основные балансы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D11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Энергия и энергетическая устойчивость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Надёжная энергия с доказанными характеристиками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B04, B07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D12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Материалы, машиноведение и производство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Производительные комплексы и ремонтопригодные изделия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B06, B11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D13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Жильё, строительство и ЖКХ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Безопасная среда и полный жизненный цикл объектов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B08, B03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D14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Транспорт и связанность территорий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Доступность услуг, рынков и научных центров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B15, B08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D15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Данные, вычислительный ГРИД и связь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Надёжная цифровая среда с контролем доступа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B16, B11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D16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Финансы, фонды и ресурсное обеспечение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Прозрачное финансирование подтверждённых действий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B07, B14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D17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Культура, наследие и общая память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Сохранение многообразия и доступ к знанию предков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B17, B10</w:t>
            </w:r>
          </w:p>
        </w:tc>
      </w:tr>
      <w:tr>
        <w:trPr>
          <w:cantSplit/>
        </w:trPr>
        <w:tc>
          <w:tcPr>
            <w:tcW w:type="dxa" w:w="59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D18</w:t>
            </w:r>
          </w:p>
        </w:tc>
        <w:tc>
          <w:tcPr>
            <w:tcW w:type="dxa" w:w="309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Управление, право и общественные институты</w:t>
            </w:r>
          </w:p>
        </w:tc>
        <w:tc>
          <w:tcPr>
            <w:tcW w:type="dxa" w:w="47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Подотчётные решения и разрешение разногласий</w:t>
            </w:r>
          </w:p>
        </w:tc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B18, B16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D19</w:t>
            </w:r>
          </w:p>
        </w:tc>
        <w:tc>
          <w:tcPr>
            <w:tcW w:type="dxa" w:w="309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Мир, безопасность и международная кооперация</w:t>
            </w:r>
          </w:p>
        </w:tc>
        <w:tc>
          <w:tcPr>
            <w:tcW w:type="dxa" w:w="47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Предупреждение вреда, защита жизни и сотрудничество</w:t>
            </w:r>
          </w:p>
        </w:tc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B19, B18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Связь с внешними рамками</w:t>
      </w:r>
    </w:p>
    <w:p>
      <w:r>
        <w:rPr>
          <w:b w:val="0"/>
        </w:rPr>
        <w:t>Повестка ООН на период до 2030 года включает 17 Целей устойчивого развития и 169 задач. Классификатор книги не заменяет их и не утверждает официального признания. Предлагается таблица соответствий на уровне конкретных задач и показателей, а не совпадение по числу направлений. [И04]</w:t>
      </w:r>
    </w:p>
    <w:p>
      <w:r>
        <w:rPr>
          <w:b w:val="0"/>
        </w:rPr>
        <w:t>Рабочие примеры сопоставления: D01 — ЦУР 3; D04 — ЦУР 6; D07 — ЦУР 8; D09 — ЦУР 4; D11 — ЦУР 7; D13 — ЦУР 11; D19 — ЦУР 16 и 17. Это редакционная карта связей, а не внешняя оценка достигнутого соответствия. [И04]</w:t>
      </w:r>
    </w:p>
    <w:p>
      <w:r>
        <w:rPr>
          <w:b w:val="0"/>
        </w:rPr>
        <w:t>У направления есть координатор, перечень задач, границы решений и связи с другими направлениями. Координатор не получает полномочий над всеми участниками только из-за своего положения в классификаторе.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08</w:t>
      </w:r>
    </w:p>
    <w:p>
      <w:bookmarkStart w:id="11" w:name="c08"/>
      <w:pPr>
        <w:pStyle w:val="Heading1"/>
      </w:pPr>
      <w:r>
        <w:t>19 связанных балансов: метод управления</w:t>
      </w:r>
      <w:bookmarkEnd w:id="11"/>
    </w:p>
    <w:p>
      <w:r>
        <w:rPr>
          <w:b w:val="0"/>
        </w:rPr>
      </w:r>
      <w:r>
        <w:rPr>
          <w:b/>
        </w:rPr>
        <w:t>Балансы — основа системы управления</w:t>
      </w:r>
      <w:r>
        <w:rPr>
          <w:b w:val="0"/>
        </w:rPr>
        <w:t>, когда они не только описывают остатки, но и связывают потребности, доступные возможности, потоки, ограничения и ответственные решения. При этом сам баланс не действует: нужны правила выбора, исполнитель, ресурсы и обратная связь.</w:t>
      </w:r>
    </w:p>
    <w:p>
      <w:pPr>
        <w:pStyle w:val="Heading2"/>
      </w:pPr>
      <w:r>
        <w:t>Два типа представления</w:t>
      </w:r>
    </w:p>
    <w:p>
      <w:r>
        <w:rPr>
          <w:b w:val="0"/>
        </w:rPr>
      </w:r>
      <w:r>
        <w:rPr>
          <w:b/>
        </w:rPr>
        <w:t>Потоково-запасовое представление</w:t>
      </w:r>
      <w:r>
        <w:rPr>
          <w:b w:val="0"/>
        </w:rPr>
        <w:t xml:space="preserve"> применяется там, где определены сопоставимые единицы: вода, энергия, материалы, деньги по валютам. </w:t>
      </w:r>
      <w:r>
        <w:rPr>
          <w:b/>
        </w:rPr>
        <w:t>Представление состояния и результата</w:t>
      </w:r>
      <w:r>
        <w:rPr>
          <w:b w:val="0"/>
        </w:rPr>
        <w:t xml:space="preserve"> применяется к здоровью, образованию, культуре и институтам. Второму типу нельзя механически приписывать законы сохранения первого.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БАЗОВОЕ УЧЁТНОЕ РАВЕНСТВО</w:t>
            </w:r>
          </w:p>
          <w:p>
            <w:pPr>
              <w:widowControl/>
              <w:spacing w:after="160"/>
            </w:pPr>
            <w:r>
              <w:t>Запас на конец периода = запас на начало + поступления − выбытия + прочие документированные изменения. Все члены имеют одинаковые единицы, границу и период. Потери и переклассификации раскрываются отдельно, а не прячутся в «прочем».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Что делает балансы связанными</w:t>
      </w:r>
    </w:p>
    <w:p>
      <w:r>
        <w:rPr>
          <w:b w:val="0"/>
        </w:rPr>
        <w:t>Связь описывает конкретное влияние: водоснабжение требует энергии; производство требует материалов и навыков; восстановление человека связано с транспортом, трудом и доступностью среды. Связь имеет направление, основание, период и степень уверенности. Причинный эффект не считается доказанным только потому, что два показателя изменились одновременно.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948"/>
        <w:gridCol w:w="6803"/>
      </w:tblGrid>
      <w:tr>
        <w:trPr>
          <w:tblHeader w:val="true"/>
        </w:trPr>
        <w:tc>
          <w:tcPr>
            <w:tcW w:type="dxa" w:w="294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Правило</w:t>
            </w:r>
          </w:p>
        </w:tc>
        <w:tc>
          <w:tcPr>
            <w:tcW w:type="dxa" w:w="6803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20"/>
              </w:rPr>
              <w:t>Практическое следствие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Одна сущность — один идентификатор</w:t>
            </w:r>
          </w:p>
        </w:tc>
        <w:tc>
          <w:tcPr>
            <w:tcW w:type="dxa" w:w="680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Один объект, платёж или поставка не становится новым результатом при появлении в другом отчёте.</w:t>
            </w:r>
          </w:p>
        </w:tc>
      </w:tr>
      <w:tr>
        <w:trPr>
          <w:cantSplit/>
        </w:trPr>
        <w:tc>
          <w:tcPr>
            <w:tcW w:type="dxa" w:w="294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Одни границы и периоды</w:t>
            </w:r>
          </w:p>
        </w:tc>
        <w:tc>
          <w:tcPr>
            <w:tcW w:type="dxa" w:w="680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Перед сопоставлением сверяются территория, население, валюта, единицы и дата.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Потоки между узлами согласованы</w:t>
            </w:r>
          </w:p>
        </w:tc>
        <w:tc>
          <w:tcPr>
            <w:tcW w:type="dxa" w:w="680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Передача ресурса у отправителя и получение у адресата связываются общей операцией.</w:t>
            </w:r>
          </w:p>
        </w:tc>
      </w:tr>
      <w:tr>
        <w:trPr>
          <w:cantSplit/>
        </w:trPr>
        <w:tc>
          <w:tcPr>
            <w:tcW w:type="dxa" w:w="294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Несопоставимое не суммируется</w:t>
            </w:r>
          </w:p>
        </w:tc>
        <w:tc>
          <w:tcPr>
            <w:tcW w:type="dxa" w:w="680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Рубли, годы жизни, гектары и кВт·ч остаются разными осями оценки.</w:t>
            </w:r>
          </w:p>
        </w:tc>
      </w:tr>
      <w:tr>
        <w:trPr>
          <w:cantSplit/>
        </w:trPr>
        <w:tc>
          <w:tcPr>
            <w:tcW w:type="dxa" w:w="294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Внешний эффект раскрыт</w:t>
            </w:r>
          </w:p>
        </w:tc>
        <w:tc>
          <w:tcPr>
            <w:tcW w:type="dxa" w:w="680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20"/>
              </w:rPr>
              <w:t>Улучшение одного баланса проверяется на нагрузку или ущерб другим.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r>
        <w:rPr>
          <w:b w:val="0"/>
        </w:rPr>
        <w:t>Для природного учёта внешним методологическим ориентиром служит SEEA Ecosystem Accounting: система рассматривает площадь, состояние экосистем и экосистемные услуги в пространственном представлении. Конкретные паспорта книги — собственная проектная схема; соответствие SEEA ещё должно проверяться отдельно. [И05]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08 • ПРАКТИЧЕСКАЯ МОДЕЛЬ</w:t>
      </w:r>
    </w:p>
    <w:p>
      <w:pPr>
        <w:pStyle w:val="Heading1"/>
      </w:pPr>
      <w:r>
        <w:t>Как одно решение меняет несколько балансов</w:t>
      </w:r>
    </w:p>
    <w:p>
      <w:r>
        <w:rPr>
          <w:b w:val="0"/>
        </w:rPr>
        <w:t xml:space="preserve">Ниже приведён </w:t>
      </w:r>
      <w:r>
        <w:rPr>
          <w:b/>
        </w:rPr>
        <w:t>исключительно учебный расчёт</w:t>
      </w:r>
      <w:r>
        <w:rPr>
          <w:b w:val="0"/>
        </w:rPr>
        <w:t xml:space="preserve"> для условного участка водоснабжения. Числа не являются данными реального объекта, инвестиционной оценкой или заявленным результатом действующей программы.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4139"/>
        <w:gridCol w:w="2806"/>
        <w:gridCol w:w="2806"/>
      </w:tblGrid>
      <w:tr>
        <w:trPr>
          <w:tblHeader w:val="true"/>
        </w:trPr>
        <w:tc>
          <w:tcPr>
            <w:tcW w:type="dxa" w:w="4139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Величина за одинаковый период</w:t>
            </w:r>
          </w:p>
        </w:tc>
        <w:tc>
          <w:tcPr>
            <w:tcW w:type="dxa" w:w="2806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Исходный сценарий</w:t>
            </w:r>
          </w:p>
        </w:tc>
        <w:tc>
          <w:tcPr>
            <w:tcW w:type="dxa" w:w="2806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Сценарий после ремонта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Подача воды в границы участка, м³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100 000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88 000</w:t>
            </w:r>
          </w:p>
        </w:tc>
      </w:tr>
      <w:tr>
        <w:trPr>
          <w:cantSplit/>
        </w:trPr>
        <w:tc>
          <w:tcPr>
            <w:tcW w:type="dxa" w:w="413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Полезная передача потребителям, м³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75 000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75 000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Потери в границах участка, м³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20 000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8 000</w:t>
            </w:r>
          </w:p>
        </w:tc>
      </w:tr>
      <w:tr>
        <w:trPr>
          <w:cantSplit/>
        </w:trPr>
        <w:tc>
          <w:tcPr>
            <w:tcW w:type="dxa" w:w="413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Увеличение запаса, м³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5 000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5 000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Проверка равенства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100 000 = 75 000 + 20 000 + 5 000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88 000 = 75 000 + 8 000 + 5 000</w:t>
            </w:r>
          </w:p>
        </w:tc>
      </w:tr>
      <w:tr>
        <w:trPr>
          <w:cantSplit/>
        </w:trPr>
        <w:tc>
          <w:tcPr>
            <w:tcW w:type="dxa" w:w="413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Условная удельная энергия, кВт·ч/м³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0,60</w:t>
            </w:r>
          </w:p>
        </w:tc>
        <w:tc>
          <w:tcPr>
            <w:tcW w:type="dxa" w:w="2806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0,60</w:t>
            </w:r>
          </w:p>
        </w:tc>
      </w:tr>
      <w:tr>
        <w:trPr>
          <w:cantSplit/>
        </w:trPr>
        <w:tc>
          <w:tcPr>
            <w:tcW w:type="dxa" w:w="413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Потребление энергии, кВт·ч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60 000</w:t>
            </w:r>
          </w:p>
        </w:tc>
        <w:tc>
          <w:tcPr>
            <w:tcW w:type="dxa" w:w="2806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52 800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Что можно заключить в рамках допущений</w:t>
      </w:r>
    </w:p>
    <w:p>
      <w:r>
        <w:rPr>
          <w:b w:val="0"/>
        </w:rPr>
        <w:t>При неизменной полезной передаче и одинаковом увеличении запаса требуемая подача уменьшается на 12 000 м³. Объём потерь сокращается на 60%, а доля потерь в подаче меняется с 20,0% до примерно 9,1%. Это разные показатели, их нельзя называть одной и той же экономией.</w:t>
      </w:r>
    </w:p>
    <w:p>
      <w:r>
        <w:rPr>
          <w:b w:val="0"/>
        </w:rPr>
        <w:t>При условно постоянной удельной энергии расчётное сокращение составляет 7 200 кВт·ч. Реальный энергетический эффект необходимо проверить измерениями: изменение давления и режима работы может изменить удельный расход. Денежный эффект не указан, поскольку тариф, стоимость ремонта и обслуживание в примере не заданы.</w:t>
      </w:r>
    </w:p>
    <w:p>
      <w:pPr>
        <w:pStyle w:val="Heading2"/>
      </w:pPr>
      <w:r>
        <w:t>Карта связей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608"/>
        <w:gridCol w:w="7143"/>
      </w:tblGrid>
      <w:tr>
        <w:trPr>
          <w:tblHeader w:val="true"/>
        </w:trPr>
        <w:tc>
          <w:tcPr>
            <w:tcW w:type="dxa" w:w="260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Баланс</w:t>
            </w:r>
          </w:p>
        </w:tc>
        <w:tc>
          <w:tcPr>
            <w:tcW w:type="dxa" w:w="7143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Что меняется или требует проверки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B03 — водный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Подача, потери и сопоставимость учёта.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B04 — энергетический</w:t>
            </w:r>
          </w:p>
        </w:tc>
        <w:tc>
          <w:tcPr>
            <w:tcW w:type="dxa" w:w="71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Расчётная потребность в энергии; фактические показания — отдельная проверка.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B07 — финансовый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Затраты ремонта, обслуживание и подтверждённые платежи.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B08 — инфраструктурный</w:t>
            </w:r>
          </w:p>
        </w:tc>
        <w:tc>
          <w:tcPr>
            <w:tcW w:type="dxa" w:w="71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Состояние участка и ожидаемый срок службы.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B02 и B12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Возможный эффект для источника и людей не доказан этим расчётом; требуются отдельные наблюдения.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Small"/>
      </w:pPr>
      <w:r>
        <w:rPr>
          <w:b w:val="0"/>
        </w:rPr>
        <w:t>Условие принятия решения: исходные границы сохранены; качество и надёжность услуги не ухудшены; снижение потерь подтверждено; отрицательные эффекты раскрыты. Для утверждения причинного вклада ремонта дополнительно сравниваются альтернативные объяснения и сопоставимые периоды.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09</w:t>
      </w:r>
    </w:p>
    <w:p>
      <w:bookmarkStart w:id="12" w:name="c09"/>
      <w:pPr>
        <w:pStyle w:val="Heading1"/>
      </w:pPr>
      <w:r>
        <w:t>Измерительный контур 13 × 20</w:t>
      </w:r>
      <w:bookmarkEnd w:id="12"/>
    </w:p>
    <w:p>
      <w:r>
        <w:rPr>
          <w:b w:val="0"/>
        </w:rPr>
        <w:t>Матрица содержит 20 блоков по 13 измерительных позиций: первые 19 относятся к направлениям D01–D19, двадцатый — к межсистемной координации. D20 не является двадцатым балансом. Общее количество — 260 мест для паспортов показателей, а не 260 уже полученных измерений.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041"/>
        <w:gridCol w:w="3543"/>
        <w:gridCol w:w="4167"/>
      </w:tblGrid>
      <w:tr>
        <w:trPr>
          <w:tblHeader w:val="true"/>
        </w:trPr>
        <w:tc>
          <w:tcPr>
            <w:tcW w:type="dxa" w:w="204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Ось</w:t>
            </w:r>
          </w:p>
        </w:tc>
        <w:tc>
          <w:tcPr>
            <w:tcW w:type="dxa" w:w="3543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Что проверяется</w:t>
            </w:r>
          </w:p>
        </w:tc>
        <w:tc>
          <w:tcPr>
            <w:tcW w:type="dxa" w:w="416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Пример формы показателя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M01. Потребность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Масштаб неудовлетворённой задачи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Число нуждающихся или объём дефицита.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M02. Охват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Доля потребности, реально обеспеченная услугой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Обеспеченные / нуждающиеся, %.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M03. Качество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Выполнение заранее заданного критерия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Соответствующие проверки / все проверки, %.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M04. Срок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Время от запроса до результата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Медиана и верхний квантиль ожидания, дни.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M05. Непрерывность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Доступность услуги за период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Время доступности / требуемое время, %.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M06. Эффективность ресурса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Результат на единицу ресурса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Полезный выход / затраченный ресурс.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M07. Доступность по затратам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Нагрузка на пользователя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Расход на услугу / доступный доход, %.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M08. Потери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Утрата ресурса или результата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Потери / входной поток, %.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M09. Безопасность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Нежелательные последствия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Инциденты на объём деятельности.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M10. Восстановление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Исправление нарушенного состояния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Выполненные восстановительные задачи, %.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M11. Устойчивость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Способность выдержать сбой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Дни резерва или время восстановления.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M12. Включённость</w:t>
            </w:r>
          </w:p>
        </w:tc>
        <w:tc>
          <w:tcPr>
            <w:tcW w:type="dxa" w:w="35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Различие доступа между группами</w:t>
            </w:r>
          </w:p>
        </w:tc>
        <w:tc>
          <w:tcPr>
            <w:tcW w:type="dxa" w:w="416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Разрыв охвата в процентных пунктах.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M13. Подтверждённость</w:t>
            </w:r>
          </w:p>
        </w:tc>
        <w:tc>
          <w:tcPr>
            <w:tcW w:type="dxa" w:w="35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Проверяемость результата</w:t>
            </w:r>
          </w:p>
        </w:tc>
        <w:tc>
          <w:tcPr>
            <w:tcW w:type="dxa" w:w="416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Результаты с достаточными доказательствами, %.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Что должно быть в каждом паспорте</w:t>
      </w:r>
    </w:p>
    <w:p>
      <w:r>
        <w:rPr>
          <w:b w:val="0"/>
        </w:rPr>
        <w:t>Код; смысл; единица; формула; числитель и знаменатель; граница; период; источник; владелец данных; способ проверки; неопределённость; желательное направление изменения; условия неприменимости. Целевое значение выбирается после исходного измерения и согласования, а не для красивой диаграммы.</w:t>
      </w:r>
    </w:p>
    <w:p>
      <w:r>
        <w:rPr>
          <w:b w:val="0"/>
        </w:rPr>
        <w:t>Некоторые оси неприменимы к отдельным блокам. Такие позиции получают статус «неприменимо» с объяснением; отсутствие данных — отдельный статус. Ни то ни другое не заменяется нулём. 260 — ёмкость рабочей схемы, а не требование изобрести ненужный показатель.</w:t>
      </w:r>
    </w:p>
    <w:p>
      <w:pPr>
        <w:pStyle w:val="Small"/>
      </w:pPr>
      <w:r>
        <w:rPr>
          <w:b w:val="0"/>
        </w:rPr>
        <w:t>Сводная оценка допускается только при раскрытых весах, нормировке и чувствительности. Нарушение прав или порога безопасности не компенсируется высоким баллом в другой сфере. Полный реестр кодов приведён в приложении Б.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10</w:t>
      </w:r>
    </w:p>
    <w:p>
      <w:bookmarkStart w:id="13" w:name="c10"/>
      <w:pPr>
        <w:pStyle w:val="Heading1"/>
      </w:pPr>
      <w:r>
        <w:t>ЭКВИЛИБРИУМ и архитектура исполнения</w:t>
      </w:r>
      <w:bookmarkEnd w:id="13"/>
    </w:p>
    <w:p>
      <w:r>
        <w:rPr>
          <w:b w:val="0"/>
        </w:rPr>
        <w:t>ЭКВИЛИБРИУМ проектируется как система наблюдения, согласования и обратной связи. Его назначение — показывать состояние, выявлять несогласованность решений и возвращать проверенный результат в общую память. Это не единый всевластный оператор и не замена профессиональной ответственности.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984"/>
        <w:gridCol w:w="3855"/>
        <w:gridCol w:w="3912"/>
      </w:tblGrid>
      <w:tr>
        <w:trPr>
          <w:tblHeader w:val="true"/>
        </w:trPr>
        <w:tc>
          <w:tcPr>
            <w:tcW w:type="dxa" w:w="198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Компонент</w:t>
            </w:r>
          </w:p>
        </w:tc>
        <w:tc>
          <w:tcPr>
            <w:tcW w:type="dxa" w:w="385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Предлагаемая функция</w:t>
            </w:r>
          </w:p>
        </w:tc>
        <w:tc>
          <w:tcPr>
            <w:tcW w:type="dxa" w:w="391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Главный выход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ЭКВИЛИБРИУМ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Наблюдение, сценарии, контроль связей и изменений.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Картина состояния и обоснованные сигналы для решения.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СФЕРА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Взаимодействие людей, организаций и проектных команд.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Понятные запросы, предложения и согласованные роли.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ECO-PPA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Мобилизация ресурсов и согласование обязательств.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Подтверждённое обеспечение конкретного действия.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СПЕЦЗАЩИТА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Организация исполнения в пределах договоров и полномочий.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Выполненная работа, документы и устранение замечаний.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Учётная группа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Методика, идентификаторы, сверка и консолидация.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Сопоставимые балансы без двойного учёта.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Вычислительный ГРИД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Совместное использование вычислительных задач и ресурсов.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Воспроизводимый расчёт с версией данных и модели.</w:t>
            </w:r>
          </w:p>
        </w:tc>
      </w:tr>
      <w:tr>
        <w:trPr>
          <w:cantSplit/>
        </w:trPr>
        <w:tc>
          <w:tcPr>
            <w:tcW w:type="dxa" w:w="198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Государственный Конструктор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Связь объектов, технологий, территории и жизненного цикла.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Согласованная конфигурация программы развития.</w:t>
            </w:r>
          </w:p>
        </w:tc>
      </w:tr>
      <w:tr>
        <w:trPr>
          <w:cantSplit/>
        </w:trPr>
        <w:tc>
          <w:tcPr>
            <w:tcW w:type="dxa" w:w="198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Центры валидации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Проверка данных и результатов с раскрытием независимости.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Заключение о достаточности доказательств.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Рабочий цикл</w:t>
      </w:r>
    </w:p>
    <w:p>
      <w:r>
        <w:rPr>
          <w:b w:val="0"/>
        </w:rPr>
        <w:t>Наблюдение → смысл → классификация → сценарий → решение → действие → результат → доказательство → урок → новое правило. Каждое звено сохраняет связь с предыдущим. Сигнал модели может инициировать проверку, но сам по себе не становится подтверждённым фактом или обязательным распоряжением.</w:t>
      </w:r>
    </w:p>
    <w:p>
      <w:pPr>
        <w:pStyle w:val="Heading2"/>
      </w:pPr>
      <w:r>
        <w:t>Уровни доступа и разделение функций</w:t>
      </w:r>
    </w:p>
    <w:p>
      <w:r>
        <w:rPr>
          <w:b w:val="0"/>
        </w:rPr>
        <w:t>Общественный слой показывает задачи, утверждённые решения, агрегированные результаты и источники. Рабочий слой содержит детализацию проектов. Ограниченный слой хранит персональные, договорные и иные защищаемые данные. Проверяющий не должен подтверждать собственную работу без раскрытия конфликта интересов и дополнительного контроля.</w:t>
      </w:r>
    </w:p>
    <w:p>
      <w:r>
        <w:rPr>
          <w:b w:val="0"/>
        </w:rPr>
        <w:t>Предлагаемые взаимодействия с ТПП РФ, АСИ, научными учреждениями и органами оценки угроз оформляются отдельными соглашениями. Упоминание таких ролей в концепции не подтверждает их принятия соответствующими организациями.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11</w:t>
      </w:r>
    </w:p>
    <w:p>
      <w:bookmarkStart w:id="14" w:name="c11"/>
      <w:pPr>
        <w:pStyle w:val="Heading1"/>
      </w:pPr>
      <w:r>
        <w:t>Сообщества, институты и мирное сотрудничество</w:t>
      </w:r>
      <w:bookmarkEnd w:id="14"/>
    </w:p>
    <w:p>
      <w:r>
        <w:rPr>
          <w:b w:val="0"/>
        </w:rPr>
        <w:t>Сильное сообщество не строится на обязательном единомыслии. Оно возникает вокруг понятных общих задач, взаимной пользы, правил участия и способности разрешать разногласия. Участник должен видеть не только цель объединения, но и собственный голос, границы обязательств и способ выхода.</w:t>
      </w:r>
    </w:p>
    <w:p>
      <w:pPr>
        <w:pStyle w:val="Heading2"/>
      </w:pPr>
      <w:r>
        <w:t>Предлагаемая институциональная модель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268"/>
        <w:gridCol w:w="3742"/>
        <w:gridCol w:w="3742"/>
      </w:tblGrid>
      <w:tr>
        <w:trPr>
          <w:tblHeader w:val="true"/>
        </w:trPr>
        <w:tc>
          <w:tcPr>
            <w:tcW w:type="dxa" w:w="226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Институт проекта</w:t>
            </w:r>
          </w:p>
        </w:tc>
        <w:tc>
          <w:tcPr>
            <w:tcW w:type="dxa" w:w="374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Функция</w:t>
            </w:r>
          </w:p>
        </w:tc>
        <w:tc>
          <w:tcPr>
            <w:tcW w:type="dxa" w:w="374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Ограничение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Собрание участников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Обсуждение целей, выбор представителей и правил участия.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 подменяет публичные полномочия государства.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Совет направлений</w:t>
            </w:r>
          </w:p>
        </w:tc>
        <w:tc>
          <w:tcPr>
            <w:tcW w:type="dxa" w:w="374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Согласование потребностей и межотраслевых связей.</w:t>
            </w:r>
          </w:p>
        </w:tc>
        <w:tc>
          <w:tcPr>
            <w:tcW w:type="dxa" w:w="374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 вправе присваивать активы или навязывать участие.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Научно-экспертный совет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Методы, экспертиза и разбор неопределённости.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Отделяет научные выводы от ценностных предпочтений.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Проектный офис</w:t>
            </w:r>
          </w:p>
        </w:tc>
        <w:tc>
          <w:tcPr>
            <w:tcW w:type="dxa" w:w="374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Сроки, ресурсы, исполнители и журнал решений.</w:t>
            </w:r>
          </w:p>
        </w:tc>
        <w:tc>
          <w:tcPr>
            <w:tcW w:type="dxa" w:w="374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 принимает свою отчётность за независимую оценку.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Независимый пересмотр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Жалобы, конфликты интересов и проверка обоснованности.</w:t>
            </w:r>
          </w:p>
        </w:tc>
        <w:tc>
          <w:tcPr>
            <w:tcW w:type="dxa" w:w="374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Имеет доступ к необходимым доказательствам с защитой данных.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Кооперация и профсоюзы</w:t>
      </w:r>
    </w:p>
    <w:p>
      <w:r>
        <w:rPr>
          <w:b w:val="0"/>
        </w:rPr>
        <w:t>Предприниматели, кооперативы и представители работников участвуют в согласовании производственных задач, условий труда, обучения и распределения рисков. Добровольное сотрудничество не отменяет договорной самостоятельности. Экономия проекта не должна достигаться скрытым ухудшением условий труда или переносом расходов на семью.</w:t>
      </w:r>
    </w:p>
    <w:p>
      <w:pPr>
        <w:pStyle w:val="Heading2"/>
      </w:pPr>
      <w:r>
        <w:t>Коллективный Совет Безопасности — проектная роль</w:t>
      </w:r>
    </w:p>
    <w:p>
      <w:r>
        <w:rPr>
          <w:b w:val="0"/>
        </w:rPr>
        <w:t>В книге это название предлагаемой площадки оценки рисков и мирного сотрудничества. Она может сопоставлять угрозы базовым системам жизни, организовывать экспертный диалог и предлагать меры готовности. Ей не приписываются полномочия действующих международных органов, право применять принуждение или самостоятельно распоряжаться вооружёнными структурами.</w:t>
      </w:r>
    </w:p>
    <w:p>
      <w:pPr>
        <w:pStyle w:val="Heading2"/>
      </w:pPr>
      <w:r>
        <w:t>Практическая программа мира</w:t>
      </w:r>
    </w:p>
    <w:p>
      <w:r>
        <w:rPr>
          <w:b w:val="0"/>
        </w:rPr>
        <w:t>Первый круг совместных задач — помощь пострадавшим, восстановление воды и жилья, обмен профессиональными знаниями, культурные связи и безопасные гражданские проекты. Каждая инициатива получает согласованный мандат, круг участников, публично объяснимую цель и механизм предотвращения вреда. Политические разногласия не превращаются в коллективную вину населения.</w:t>
      </w:r>
    </w:p>
    <w:p>
      <w:pPr>
        <w:pStyle w:val="Small"/>
      </w:pPr>
      <w:r>
        <w:rPr>
          <w:b w:val="0"/>
        </w:rPr>
        <w:t>Образ «Планета как одно государство» в этой редакции читается как горизонт совместимости и общей ответственности. Любые предложения о реальных политико-правовых преобразованиях требуют самостоятельного законного процесса и свободного согласования; символическое единство его не заменяет.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12</w:t>
      </w:r>
    </w:p>
    <w:p>
      <w:bookmarkStart w:id="15" w:name="c12"/>
      <w:pPr>
        <w:pStyle w:val="Heading1"/>
      </w:pPr>
      <w:r>
        <w:t>Финансы, фонды и ресурсное обеспечение</w:t>
      </w:r>
      <w:bookmarkEnd w:id="15"/>
    </w:p>
    <w:p>
      <w:r>
        <w:rPr>
          <w:b w:val="0"/>
        </w:rPr>
        <w:t>Финансовая система проекта должна делать возможным действие и одновременно показывать предел обязательств. Ключевой принцип: ресурс считается доступным не по названию документа, а после проверки владельца, основания распоряжения, ограничений, срока и возможности фактического использования.</w:t>
      </w:r>
    </w:p>
    <w:p>
      <w:pPr>
        <w:pStyle w:val="Heading2"/>
      </w:pPr>
      <w:r>
        <w:t>Система фондов Нового Уклада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268"/>
        <w:gridCol w:w="3628"/>
        <w:gridCol w:w="3855"/>
      </w:tblGrid>
      <w:tr>
        <w:trPr>
          <w:tblHeader w:val="true"/>
        </w:trPr>
        <w:tc>
          <w:tcPr>
            <w:tcW w:type="dxa" w:w="226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Контур</w:t>
            </w:r>
          </w:p>
        </w:tc>
        <w:tc>
          <w:tcPr>
            <w:tcW w:type="dxa" w:w="362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Назначение</w:t>
            </w:r>
          </w:p>
        </w:tc>
        <w:tc>
          <w:tcPr>
            <w:tcW w:type="dxa" w:w="385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Условие доверия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Личный и семейный</w:t>
            </w:r>
          </w:p>
        </w:tc>
        <w:tc>
          <w:tcPr>
            <w:tcW w:type="dxa" w:w="362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Учёт согласованных целей, прав и участия человека в результатах.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Никакой оценки личности как залога; добровольность и конфиденциальность.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Кооперативный</w:t>
            </w:r>
          </w:p>
        </w:tc>
        <w:tc>
          <w:tcPr>
            <w:tcW w:type="dxa" w:w="362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Совместное обеспечение работ и распределение результатов.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Правила вклада, расходов, участия в управлении и выхода.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Проектный</w:t>
            </w:r>
          </w:p>
        </w:tc>
        <w:tc>
          <w:tcPr>
            <w:tcW w:type="dxa" w:w="362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Средства на конкретный объём работ и жизненный цикл.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Подтверждённые источники и этапные условия расходования.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Общественный и восстановительный</w:t>
            </w:r>
          </w:p>
        </w:tc>
        <w:tc>
          <w:tcPr>
            <w:tcW w:type="dxa" w:w="362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Поддержка общих благ и исправление нанесённого ущерба.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Прозрачное назначение, критерии доступа и независимый контроль.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«Человек — банк»: рабочее прочтение</w:t>
      </w:r>
    </w:p>
    <w:p>
      <w:r>
        <w:rPr>
          <w:b w:val="0"/>
        </w:rPr>
        <w:t>В концептуальном языке эта формула подчёркивает самостоятельность человека и его участие в создании ценности. Для реализации она переводится в учёт личных целей, прав, компетенций, вкладов и согласованных выплат. Книга не приписывает человеку банковский статус, не создаёт денежную эмиссию и не признаёт обязательства третьих лиц одним фактом личной регистрации.</w:t>
      </w:r>
    </w:p>
    <w:p>
      <w:pPr>
        <w:pStyle w:val="Heading2"/>
      </w:pPr>
      <w:r>
        <w:t>ECO-PPA и подтверждение ресурсного результата</w:t>
      </w:r>
    </w:p>
    <w:p>
      <w:r>
        <w:rPr>
          <w:b w:val="0"/>
        </w:rPr>
        <w:t>В этой книге ECO-PPA — проектный контур мобилизации ресурсов. Его реестр разделяет намерение, согласованное обязательство, доступный ресурс, выполненную поставку и принятую работу. Для энергетического проекта отдельно проверяются право распоряжения, объём и график поставки, измерение, качество, стоимость, ограничения и ответственность.</w:t>
      </w:r>
    </w:p>
    <w:p>
      <w:r>
        <w:rPr>
          <w:b w:val="0"/>
        </w:rPr>
        <w:t>Заявление о продукте, прогноз на 30 лет и цифровой токен не считаются здесь доказательством уже произведённой энергии. Единица учёта кВт·ч не равна денежному обязательству без отдельного договорного основания. Титул, залог, зачёт и право требования рассматриваются только по проверяемым документам и после профильной правовой оценки.</w:t>
      </w:r>
    </w:p>
    <w:p>
      <w:pPr>
        <w:pStyle w:val="Heading2"/>
      </w:pPr>
      <w:r>
        <w:t>Финансирование жизненного цикла</w:t>
      </w:r>
    </w:p>
    <w:p>
      <w:r>
        <w:rPr>
          <w:b w:val="0"/>
        </w:rPr>
        <w:t>Смета включает подготовку, реализацию, эксплуатацию, обслуживание, проверку результата, восстановление и завершение проекта. Доход, грант, заём, вклад и экономия показываются раздельно. Расходование следующего этапа разрешается после подтверждения результата предыдущего, если это предусмотрено согласованными условиями.</w:t>
      </w:r>
    </w:p>
    <w:p>
      <w:pPr>
        <w:pStyle w:val="Small"/>
      </w:pPr>
      <w:r>
        <w:rPr>
          <w:b w:val="0"/>
        </w:rPr>
        <w:t>Конкретные суммы, доходность и источники финансирования этой книги не утверждены. Их отсутствие не скрывается условными активами; они должны появиться в паспортах реальных пилотов.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13</w:t>
      </w:r>
    </w:p>
    <w:p>
      <w:bookmarkStart w:id="16" w:name="c13"/>
      <w:pPr>
        <w:pStyle w:val="Heading1"/>
      </w:pPr>
      <w:r>
        <w:t>Государственный Конструктор и производительные силы</w:t>
      </w:r>
      <w:bookmarkEnd w:id="16"/>
    </w:p>
    <w:p>
      <w:r>
        <w:rPr>
          <w:b w:val="0"/>
        </w:rPr>
        <w:t>Государственный Конструктор предлагается как система согласования развития, а не витрина предложений. Он соединяет территорию, потребность, технологию, производственный комплекс, инфраструктуру, ресурсный цикл и 19 балансов. Название обозначает проектную концепцию, а не факт создания государственного органа.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ПРОСТРАНСТВЕННАЯ ОСЬ</w:t>
            </w:r>
          </w:p>
          <w:p>
            <w:pPr>
              <w:widowControl/>
              <w:spacing w:after="160"/>
            </w:pPr>
            <w:r>
              <w:t>Россия → макрорегионы → промышленные ядра → энергетические узлы → транспортные коридоры → научно-технологические центры → Комплексы Нового Уклада → межрегиональная кооперация → 19 балансов.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Восемь слоёв проектной модели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835"/>
        <w:gridCol w:w="6917"/>
      </w:tblGrid>
      <w:tr>
        <w:trPr>
          <w:tblHeader w:val="true"/>
        </w:trPr>
        <w:tc>
          <w:tcPr>
            <w:tcW w:type="dxa" w:w="283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Слой</w:t>
            </w:r>
          </w:p>
        </w:tc>
        <w:tc>
          <w:tcPr>
            <w:tcW w:type="dxa" w:w="691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1. Территория и население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Пространственные границы, расселение, доступ к услугам и ограничения.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2. Биосфера и ресурсы</w:t>
            </w:r>
          </w:p>
        </w:tc>
        <w:tc>
          <w:tcPr>
            <w:tcW w:type="dxa" w:w="691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Вода, почва, экосистемы, материалы и восстановительная способность.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3. Энергия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Источники, сети, режимы, измерение и надёжность снабжения.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4. Транспорт и инфраструктура</w:t>
            </w:r>
          </w:p>
        </w:tc>
        <w:tc>
          <w:tcPr>
            <w:tcW w:type="dxa" w:w="691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Связанность, логистика, жильё, ЖКХ и жизненный цикл объектов.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5. Наука и компетенции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Институты, лаборатории, образование, мастерство и испытательная база.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6. Производство</w:t>
            </w:r>
          </w:p>
        </w:tc>
        <w:tc>
          <w:tcPr>
            <w:tcW w:type="dxa" w:w="691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Технологические цепочки, мощности, изделия, обслуживание и переработка.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7. Кооперация и финансы</w:t>
            </w:r>
          </w:p>
        </w:tc>
        <w:tc>
          <w:tcPr>
            <w:tcW w:type="dxa" w:w="691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Участники, договоры, фонды, подтверждённые ресурсы и обязательства.</w:t>
            </w:r>
          </w:p>
        </w:tc>
      </w:tr>
      <w:tr>
        <w:trPr>
          <w:cantSplit/>
        </w:trPr>
        <w:tc>
          <w:tcPr>
            <w:tcW w:type="dxa" w:w="283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8. Управление и данные</w:t>
            </w:r>
          </w:p>
        </w:tc>
        <w:tc>
          <w:tcPr>
            <w:tcW w:type="dxa" w:w="691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Паспорта, решения, карты валидации, балансы и обратная связь.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Комплекс Нового Уклада</w:t>
      </w:r>
    </w:p>
    <w:p>
      <w:r>
        <w:rPr>
          <w:b w:val="0"/>
        </w:rPr>
        <w:t>Комплекс описывается через функцию, а не только набор зданий. Он объединяет исследование, материалы, производство, энергию, ремонт, обучение, управление качеством и восстановление ресурсов. Керамика и синтетические кристаллы сохраняются как отдельные классы материалов; их пригодность определяется задачей и результатами испытаний, а не принадлежностью к общему образу будущего.</w:t>
      </w:r>
    </w:p>
    <w:p>
      <w:r>
        <w:rPr>
          <w:b w:val="0"/>
        </w:rPr>
        <w:t>Пакеты «Генеральная схема 2050», «Восемь паспортов макрорегионов» и «Реестр 50 Комплексов» сохраняются как самостоятельные источники проекта. Их полные перечни не пересоздаются по памяти и не объявляются утверждёнными в этой редакции; включение исходных файлов выполняется через реестр приложения Г.</w:t>
      </w:r>
    </w:p>
    <w:p>
      <w:pPr>
        <w:pStyle w:val="Small"/>
      </w:pPr>
      <w:r>
        <w:rPr>
          <w:b w:val="0"/>
        </w:rPr>
        <w:t>Пилот Конструктора должен показать хотя бы одну замкнутую цепочку: потребность → испытанная технология → изготовление → эксплуатация → измеренный результат → обслуживание. Масштабирование без этой цепочки увеличивает количество объектов, но не доказывает работоспособность системы.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14</w:t>
      </w:r>
    </w:p>
    <w:p>
      <w:bookmarkStart w:id="17" w:name="c14"/>
      <w:pPr>
        <w:pStyle w:val="Heading1"/>
      </w:pPr>
      <w:r>
        <w:t>Наука, ГРИД и исследование будущего</w:t>
      </w:r>
      <w:bookmarkEnd w:id="17"/>
    </w:p>
    <w:p>
      <w:r>
        <w:rPr>
          <w:b w:val="0"/>
        </w:rPr>
        <w:t>Книга поддерживает широкий исследовательский горизонт: машиноведение, материаловедение, физическую химию, плазму, биосферные процессы, цифровые модели и методы реабилитации. Новизна идеи — основание для исследования, но не готовое доказательство её эффективности или безопасности.</w:t>
      </w:r>
    </w:p>
    <w:p>
      <w:pPr>
        <w:pStyle w:val="Heading2"/>
      </w:pPr>
      <w:r>
        <w:t>Лестница доказанности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778"/>
        <w:gridCol w:w="6973"/>
      </w:tblGrid>
      <w:tr>
        <w:trPr>
          <w:tblHeader w:val="true"/>
        </w:trPr>
        <w:tc>
          <w:tcPr>
            <w:tcW w:type="dxa" w:w="277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Стадия</w:t>
            </w:r>
          </w:p>
        </w:tc>
        <w:tc>
          <w:tcPr>
            <w:tcW w:type="dxa" w:w="6973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Что требуется для перехода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Идея и гипотеза</w:t>
            </w:r>
          </w:p>
        </w:tc>
        <w:tc>
          <w:tcPr>
            <w:tcW w:type="dxa" w:w="697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Ясное утверждение, область применимости, предполагаемый механизм и способ проверки.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Модель</w:t>
            </w:r>
          </w:p>
        </w:tc>
        <w:tc>
          <w:tcPr>
            <w:tcW w:type="dxa" w:w="697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Явные допущения, данные, граничные условия, чувствительность и проверка вычислений.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Лабораторное испытание</w:t>
            </w:r>
          </w:p>
        </w:tc>
        <w:tc>
          <w:tcPr>
            <w:tcW w:type="dxa" w:w="697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Протокол, оборудование, исходные данные, оценка ошибок и повторяемость.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Независимое воспроизведение</w:t>
            </w:r>
          </w:p>
        </w:tc>
        <w:tc>
          <w:tcPr>
            <w:tcW w:type="dxa" w:w="697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Достаточные материалы для другой компетентной команды и сравнение результатов.</w:t>
            </w:r>
          </w:p>
        </w:tc>
      </w:tr>
      <w:tr>
        <w:trPr>
          <w:cantSplit/>
        </w:trPr>
        <w:tc>
          <w:tcPr>
            <w:tcW w:type="dxa" w:w="277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Ограниченный пилот</w:t>
            </w:r>
          </w:p>
        </w:tc>
        <w:tc>
          <w:tcPr>
            <w:tcW w:type="dxa" w:w="697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Контроль рисков, согласованные критерии и возможность безопасной остановки.</w:t>
            </w:r>
          </w:p>
        </w:tc>
      </w:tr>
      <w:tr>
        <w:trPr>
          <w:cantSplit/>
        </w:trPr>
        <w:tc>
          <w:tcPr>
            <w:tcW w:type="dxa" w:w="277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Эксплуатация</w:t>
            </w:r>
          </w:p>
        </w:tc>
        <w:tc>
          <w:tcPr>
            <w:tcW w:type="dxa" w:w="697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Обслуживание, мониторинг, разбор инцидентов и периодическая переоценка.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Планетарный ГРИД / Метакомпьютер</w:t>
      </w:r>
    </w:p>
    <w:p>
      <w:r>
        <w:rPr>
          <w:b w:val="0"/>
        </w:rPr>
        <w:t>В проектном смысле это совместное использование распределённых вычислительных ресурсов через понятные интерфейсы, правила доступа и воспроизводимые задания. Объединение мощностей само по себе не создаёт общий разум и не гарантирует ускорение любой задачи. Для каждого расчёта сохраняются данные, версия программы, параметры, ограничения и полученный результат.</w:t>
      </w:r>
    </w:p>
    <w:p>
      <w:pPr>
        <w:pStyle w:val="Heading2"/>
      </w:pPr>
      <w:r>
        <w:t>Гиперграфы и цифровые модели</w:t>
      </w:r>
    </w:p>
    <w:p>
      <w:r>
        <w:rPr>
          <w:b w:val="0"/>
        </w:rPr>
        <w:t>Гиперграф в предлагаемой модели связывает множество участников, объектов, ресурсов и правил одним отношением. Например, реабилитационный маршрут одновременно включает человека, специалистов, устройство, транспорт и фонд. Такая запись помогает не потерять связи, но качество решения всё равно зависит от полноты данных и проверяемости предположений.</w:t>
      </w:r>
    </w:p>
    <w:p>
      <w:pPr>
        <w:pStyle w:val="Heading2"/>
      </w:pPr>
      <w:r>
        <w:t>Космический и философский горизонт</w:t>
      </w:r>
    </w:p>
    <w:p>
      <w:r>
        <w:rPr>
          <w:b w:val="0"/>
        </w:rPr>
        <w:t>Темы «смены плотности», «смены измерений», Закона Одного, галактических ключей и временных циклов сохраняются в отдельном философско-исследовательском слое. В книге они не используются как подтверждённый физический механизм управления погодой, энергией или здоровьем. Проверяемая гипотеза получает самостоятельный исследовательский паспорт; символическая интерпретация сохраняет свой статус.</w:t>
      </w:r>
    </w:p>
    <w:p>
      <w:pPr>
        <w:pStyle w:val="Small"/>
      </w:pPr>
      <w:r>
        <w:rPr>
          <w:b w:val="0"/>
        </w:rPr>
        <w:t>Для новых энергетических решений требуется прозрачный баланс входной и выходной энергии, учёт накопителей и независимые испытания. Непроверенная характеристика не включается в гарантированную мощность инфраструктуры и не становится основанием финансового обеспечения.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15</w:t>
      </w:r>
    </w:p>
    <w:p>
      <w:bookmarkStart w:id="18" w:name="c15"/>
      <w:pPr>
        <w:pStyle w:val="Heading1"/>
      </w:pPr>
      <w:r>
        <w:t>Карта валидации и Архив сохранения наследия</w:t>
      </w:r>
      <w:bookmarkEnd w:id="18"/>
    </w:p>
    <w:p>
      <w:r>
        <w:rPr>
          <w:b w:val="0"/>
        </w:rPr>
        <w:t>Карта валидации показывает не только содержание утверждения, но и предел того, что известно. Каждая существенная запись должна позволять восстановить, кто, когда, каким методом и на каком основании получил результат. Для принципа происхождения данных полезен ориентир W3C PROV, описывающий связи между сущностями, действиями и участниками создания информации. [И07]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891"/>
        <w:gridCol w:w="6860"/>
      </w:tblGrid>
      <w:tr>
        <w:trPr>
          <w:tblHeader w:val="true"/>
        </w:trPr>
        <w:tc>
          <w:tcPr>
            <w:tcW w:type="dxa" w:w="289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686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Значение в книге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 — ценностное положение</w:t>
            </w:r>
          </w:p>
        </w:tc>
        <w:tc>
          <w:tcPr>
            <w:tcW w:type="dxa" w:w="686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Основание выбора; не выдаётся за эмпирическое открытие.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 — проектное предложение</w:t>
            </w:r>
          </w:p>
        </w:tc>
        <w:tc>
          <w:tcPr>
            <w:tcW w:type="dxa" w:w="686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Желаемая организация действия; требует согласования и проверки реализуемости.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Г — гипотеза</w:t>
            </w:r>
          </w:p>
        </w:tc>
        <w:tc>
          <w:tcPr>
            <w:tcW w:type="dxa" w:w="686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Проверяемое предположение; результат ещё не установлен.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 — модельный расчёт</w:t>
            </w:r>
          </w:p>
        </w:tc>
        <w:tc>
          <w:tcPr>
            <w:tcW w:type="dxa" w:w="686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Вывод в пределах раскрытых допущений и исходных данных.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 — наблюдение</w:t>
            </w:r>
          </w:p>
        </w:tc>
        <w:tc>
          <w:tcPr>
            <w:tcW w:type="dxa" w:w="686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Зафиксированное измерение или документированный факт с источником.</w:t>
            </w:r>
          </w:p>
        </w:tc>
      </w:tr>
      <w:tr>
        <w:trPr>
          <w:cantSplit/>
        </w:trPr>
        <w:tc>
          <w:tcPr>
            <w:tcW w:type="dxa" w:w="289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 — подтверждённый вывод</w:t>
            </w:r>
          </w:p>
        </w:tc>
        <w:tc>
          <w:tcPr>
            <w:tcW w:type="dxa" w:w="686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Вывод, поддержанный достаточными доказательствами в указанной области.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 — спорное утверждение</w:t>
            </w:r>
          </w:p>
        </w:tc>
        <w:tc>
          <w:tcPr>
            <w:tcW w:type="dxa" w:w="686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Есть возражения, несовпадающие источники или недостаточная проверка.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One-Heaven как сравнительный источник</w:t>
      </w:r>
    </w:p>
    <w:p>
      <w:r>
        <w:rPr>
          <w:b w:val="0"/>
        </w:rPr>
        <w:t>Архив главной страницы One-Heaven от 25 июня 2014 года содержит ссылки на духовные тексты, каноны, участнические, банковские и судебные разделы. Он подтверждает публикацию таких названий, но сам по себе не удостоверяет правовой статус обозначенных структур. Данная книга использует источник для сравнения замыслов, а не для признания универсальной юрисдикции. [И01]</w:t>
      </w:r>
    </w:p>
    <w:p>
      <w:r>
        <w:rPr>
          <w:b w:val="0"/>
        </w:rPr>
        <w:t>Завет из 19 статей и семь функциональных уровней этой книги являются самостоятельной разработкой. Историко-правовые заявления о трастах, титуле, предполагаемых обязательствах и подобных конструкциях не принимаются без отдельной проверки первичных документов и применимого права.</w:t>
      </w:r>
    </w:p>
    <w:p>
      <w:pPr>
        <w:pStyle w:val="Heading2"/>
      </w:pPr>
      <w:r>
        <w:t>Живой архив</w:t>
      </w:r>
    </w:p>
    <w:p>
      <w:r>
        <w:rPr>
          <w:b w:val="0"/>
        </w:rPr>
        <w:t>Документ получает идентификатор, оригинальное название, автора, версию, дату, источник, права доступа и связи с проектами. Исходная версия не заменяется поздней редакцией: хранится история. Контрольная сумма помогает обнаруживать изменение файла, но не подтверждает истинность его содержания или действительность подписи.</w:t>
      </w:r>
    </w:p>
    <w:p>
      <w:pPr>
        <w:pStyle w:val="Heading2"/>
      </w:pPr>
      <w:r>
        <w:t>Искусственный интеллект и ответственность</w:t>
      </w:r>
    </w:p>
    <w:p>
      <w:r>
        <w:rPr>
          <w:b w:val="0"/>
        </w:rPr>
        <w:t>ИИ может помогать классифицировать и сравнивать данные. Существенные решения сохраняют ответственного человека, журнал оснований и порядок оспаривания. NIST AI RMF рассматривается как добровольная рамка управления рисками ИИ; ссылка на неё не означает сертификацию проекта или автоматическую безопасность модели. [И06]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16</w:t>
      </w:r>
    </w:p>
    <w:p>
      <w:bookmarkStart w:id="19" w:name="c16"/>
      <w:pPr>
        <w:pStyle w:val="Heading1"/>
      </w:pPr>
      <w:r>
        <w:t>Пять пилотов первого цикла</w:t>
      </w:r>
      <w:bookmarkEnd w:id="19"/>
    </w:p>
    <w:p>
      <w:r>
        <w:rPr>
          <w:b w:val="0"/>
        </w:rPr>
        <w:t>Пилот — ограниченное испытание рабочей цепочки, а не уменьшенная рекламная версия глобальной программы. Для каждого пилота заранее определяются участники, граница, исходное состояние, критерий успеха, ресурсный предел, риски и условия остановки. Ни один из описанных пилотов этой книгой не объявляется профинансированным или запущенным.</w:t>
      </w:r>
    </w:p>
    <w:p>
      <w:pPr>
        <w:pStyle w:val="Heading2"/>
      </w:pPr>
      <w:r>
        <w:t>Пилот 1. «Второе дыхание»</w:t>
      </w:r>
    </w:p>
    <w:p>
      <w:r>
        <w:rPr>
          <w:b w:val="0"/>
        </w:rPr>
      </w:r>
      <w:r>
        <w:rPr>
          <w:b/>
        </w:rPr>
        <w:t>Задача:</w:t>
      </w:r>
      <w:r>
        <w:rPr>
          <w:b w:val="0"/>
        </w:rPr>
        <w:t xml:space="preserve"> связать профессиональную реабилитацию, доступную среду, технические средства, обучение и возвращение к выбранным видам повседневной активности. </w:t>
      </w:r>
      <w:r>
        <w:rPr>
          <w:b/>
        </w:rPr>
        <w:t>Контур:</w:t>
      </w:r>
      <w:r>
        <w:rPr>
          <w:b w:val="0"/>
        </w:rPr>
        <w:t xml:space="preserve"> D01, D07, D10, D12; B12, B13, B09. </w:t>
      </w:r>
      <w:r>
        <w:rPr>
          <w:b/>
        </w:rPr>
        <w:t>Результат:</w:t>
      </w:r>
      <w:r>
        <w:rPr>
          <w:b w:val="0"/>
        </w:rPr>
        <w:t xml:space="preserve"> изменение согласованных функций и доступности помощи. </w:t>
      </w:r>
      <w:r>
        <w:rPr>
          <w:b/>
        </w:rPr>
        <w:t>Доказательство:</w:t>
      </w:r>
      <w:r>
        <w:rPr>
          <w:b w:val="0"/>
        </w:rPr>
        <w:t xml:space="preserve"> исходная оценка, протокол профессионального наблюдения, обратная связь участника и перечень нежелательных событий.</w:t>
      </w:r>
    </w:p>
    <w:p>
      <w:pPr>
        <w:pStyle w:val="Small"/>
      </w:pPr>
      <w:r>
        <w:rPr>
          <w:b w:val="0"/>
        </w:rPr>
        <w:t>Вход в пилот — добровольный. Число участников и продолжительность определяются после оценки возможностей команды. Профессиональная помощь не подменяется цифровым рейтингом; отрицательный результат не скрывается исключением участника из отчёта.</w:t>
      </w:r>
    </w:p>
    <w:p>
      <w:pPr>
        <w:pStyle w:val="Heading2"/>
      </w:pPr>
      <w:r>
        <w:t>Пилот 2. «Вода и водный баланс»</w:t>
      </w:r>
    </w:p>
    <w:p>
      <w:r>
        <w:rPr>
          <w:b w:val="0"/>
        </w:rPr>
      </w:r>
      <w:r>
        <w:rPr>
          <w:b/>
        </w:rPr>
        <w:t>Задача:</w:t>
      </w:r>
      <w:r>
        <w:rPr>
          <w:b w:val="0"/>
        </w:rPr>
        <w:t xml:space="preserve"> показать измеримый эффект обслуживания и снижения потерь на одном участке. </w:t>
      </w:r>
      <w:r>
        <w:rPr>
          <w:b/>
        </w:rPr>
        <w:t>Контур:</w:t>
      </w:r>
      <w:r>
        <w:rPr>
          <w:b w:val="0"/>
        </w:rPr>
        <w:t xml:space="preserve"> D04, D11, D13; B03, B04, B08, B07. </w:t>
      </w:r>
      <w:r>
        <w:rPr>
          <w:b/>
        </w:rPr>
        <w:t>Результат:</w:t>
      </w:r>
      <w:r>
        <w:rPr>
          <w:b w:val="0"/>
        </w:rPr>
        <w:t xml:space="preserve"> подтверждённое изменение потерь при сохранении качества и полезной поставки. </w:t>
      </w:r>
      <w:r>
        <w:rPr>
          <w:b/>
        </w:rPr>
        <w:t>Доказательство:</w:t>
      </w:r>
      <w:r>
        <w:rPr>
          <w:b w:val="0"/>
        </w:rPr>
        <w:t xml:space="preserve"> единые границы, приборы учёта, сопоставимые периоды, журнал работ и проверка альтернативных причин изменения.</w:t>
      </w:r>
    </w:p>
    <w:p>
      <w:pPr>
        <w:pStyle w:val="Small"/>
      </w:pPr>
      <w:r>
        <w:rPr>
          <w:b w:val="0"/>
        </w:rPr>
        <w:t>Критический риск — принять изменение показаний из-за замены методики за реальную экономию. Условие остановки — ухудшение безопасности или качества услуги. Учебный пример главы 08 показывает форму расчёта, но не заменяет исходные данные участка.</w:t>
      </w:r>
    </w:p>
    <w:p>
      <w:pPr>
        <w:pStyle w:val="Heading2"/>
      </w:pPr>
      <w:r>
        <w:t>Пилот 3. «Живая почва и продовольствие»</w:t>
      </w:r>
    </w:p>
    <w:p>
      <w:r>
        <w:rPr>
          <w:b w:val="0"/>
        </w:rPr>
      </w:r>
      <w:r>
        <w:rPr>
          <w:b/>
        </w:rPr>
        <w:t>Задача:</w:t>
      </w:r>
      <w:r>
        <w:rPr>
          <w:b w:val="0"/>
        </w:rPr>
        <w:t xml:space="preserve"> сравнить выбранную практику управления участком с исходным состоянием и, где возможно, сопоставимым участком. </w:t>
      </w:r>
      <w:r>
        <w:rPr>
          <w:b/>
        </w:rPr>
        <w:t>Контур:</w:t>
      </w:r>
      <w:r>
        <w:rPr>
          <w:b w:val="0"/>
        </w:rPr>
        <w:t xml:space="preserve"> D05, D06, D04; B02, B05, B03. </w:t>
      </w:r>
      <w:r>
        <w:rPr>
          <w:b/>
        </w:rPr>
        <w:t>Результат:</w:t>
      </w:r>
      <w:r>
        <w:rPr>
          <w:b w:val="0"/>
        </w:rPr>
        <w:t xml:space="preserve"> измеренные изменения почвы, продукции, потребления ресурсов и рисков. </w:t>
      </w:r>
      <w:r>
        <w:rPr>
          <w:b/>
        </w:rPr>
        <w:t>Доказательство:</w:t>
      </w:r>
      <w:r>
        <w:rPr>
          <w:b w:val="0"/>
        </w:rPr>
        <w:t xml:space="preserve"> местоположение проб, сезон, метод, погодные условия и описание обработки.</w:t>
      </w:r>
    </w:p>
    <w:p>
      <w:pPr>
        <w:pStyle w:val="Small"/>
      </w:pPr>
      <w:r>
        <w:rPr>
          <w:b w:val="0"/>
        </w:rPr>
        <w:t>Название «биодинамическое» само по себе не служит доказательством преимущества. Каждая практика оценивается отдельно; влияние погоды и различий участка раскрывается. Денежные и биофизические результаты не объединяются без явной методики.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ОБЩИЙ КРИТЕРИЙ ПЕРЕХОДА</w:t>
            </w:r>
          </w:p>
          <w:p>
            <w:pPr>
              <w:widowControl/>
              <w:spacing w:after="160"/>
            </w:pPr>
            <w:r>
              <w:t>Следующий этап разрешается не потому, что закончился календарный срок, а потому, что подтверждены безопасность, качество данных, исполнение обязательств и достаточность результата для следующего решения.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16 • ПРОДОЛЖЕНИЕ</w:t>
      </w:r>
    </w:p>
    <w:p>
      <w:pPr>
        <w:pStyle w:val="Heading1"/>
      </w:pPr>
      <w:r>
        <w:t>Пилоты системы, а не только технологии</w:t>
      </w:r>
    </w:p>
    <w:p>
      <w:pPr>
        <w:pStyle w:val="Heading2"/>
      </w:pPr>
      <w:r>
        <w:t>Пилот 4. «Город Знания и кооперация»</w:t>
      </w:r>
    </w:p>
    <w:p>
      <w:r>
        <w:rPr>
          <w:b w:val="0"/>
        </w:rPr>
      </w:r>
      <w:r>
        <w:rPr>
          <w:b/>
        </w:rPr>
        <w:t>Задача:</w:t>
      </w:r>
      <w:r>
        <w:rPr>
          <w:b w:val="0"/>
        </w:rPr>
        <w:t xml:space="preserve"> соединить одну образовательную площадку, исследовательскую команду и производственных участников вокруг конкретной полезной задачи. </w:t>
      </w:r>
      <w:r>
        <w:rPr>
          <w:b/>
        </w:rPr>
        <w:t>Контур:</w:t>
      </w:r>
      <w:r>
        <w:rPr>
          <w:b w:val="0"/>
        </w:rPr>
        <w:t xml:space="preserve"> D09, D08, D10, D07; B10, B14, B11, B09. </w:t>
      </w:r>
      <w:r>
        <w:rPr>
          <w:b/>
        </w:rPr>
        <w:t>Результат:</w:t>
      </w:r>
      <w:r>
        <w:rPr>
          <w:b w:val="0"/>
        </w:rPr>
        <w:t xml:space="preserve"> подтверждённое освоение навыка и выполненная работа с понятным заказчиком и пользователем.</w:t>
      </w:r>
    </w:p>
    <w:p>
      <w:r>
        <w:rPr>
          <w:b w:val="0"/>
        </w:rPr>
        <w:t>Показатели: доступ к программе, завершение, практическое освоение, выполнение задания, безопасность и устойчивость кооперации. Число встреч и сертификатов не считается достаточным результатом. В «Сафари-парке + Городе Знания» природный и образовательный контуры дополнительно проверяются на ограничения обращения с живыми системами.</w:t>
      </w:r>
    </w:p>
    <w:p>
      <w:pPr>
        <w:pStyle w:val="Heading2"/>
      </w:pPr>
      <w:r>
        <w:t>Пилот 5. «Идеальный документооборот»</w:t>
      </w:r>
    </w:p>
    <w:p>
      <w:r>
        <w:rPr>
          <w:b w:val="0"/>
        </w:rPr>
      </w:r>
      <w:r>
        <w:rPr>
          <w:b/>
        </w:rPr>
        <w:t>Задача:</w:t>
      </w:r>
      <w:r>
        <w:rPr>
          <w:b w:val="0"/>
        </w:rPr>
        <w:t xml:space="preserve"> провести одну межорганизационную программу через единые идентификаторы, версии, решения, подтверждение ресурсов и принятие результата. </w:t>
      </w:r>
      <w:r>
        <w:rPr>
          <w:b/>
        </w:rPr>
        <w:t>Контур:</w:t>
      </w:r>
      <w:r>
        <w:rPr>
          <w:b w:val="0"/>
        </w:rPr>
        <w:t xml:space="preserve"> D15, D18, D16; B16, B18, B07. </w:t>
      </w:r>
      <w:r>
        <w:rPr>
          <w:b/>
        </w:rPr>
        <w:t>Результат:</w:t>
      </w:r>
      <w:r>
        <w:rPr>
          <w:b w:val="0"/>
        </w:rPr>
        <w:t xml:space="preserve"> участники восстанавливают происхождение решения и состояния обязательств без ручного поиска по несогласованным архивам.</w:t>
      </w:r>
    </w:p>
    <w:p>
      <w:r>
        <w:rPr>
          <w:b w:val="0"/>
        </w:rPr>
        <w:t>Показатели: время поиска, доля записей с происхождением, число несогласованных версий, скорость исправления ошибки и успешность восстановления данных. Автоматизация не считается успехом, если делает ошибочное решение менее заметным или лишает человека возможности возражения.</w:t>
      </w:r>
    </w:p>
    <w:p>
      <w:pPr>
        <w:pStyle w:val="Heading2"/>
      </w:pPr>
      <w:r>
        <w:t>Единая схема приёмки пяти пилотов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608"/>
        <w:gridCol w:w="7143"/>
      </w:tblGrid>
      <w:tr>
        <w:trPr>
          <w:tblHeader w:val="true"/>
        </w:trPr>
        <w:tc>
          <w:tcPr>
            <w:tcW w:type="dxa" w:w="260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Проверка</w:t>
            </w:r>
          </w:p>
        </w:tc>
        <w:tc>
          <w:tcPr>
            <w:tcW w:type="dxa" w:w="7143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Условие завершения этапа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Полномочия и участие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Зафиксированы роли, согласие и границы использования данных.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Исходное состояние</w:t>
            </w:r>
          </w:p>
        </w:tc>
        <w:tc>
          <w:tcPr>
            <w:tcW w:type="dxa" w:w="71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Определены базовая точка и сопоставимость будущих измерений.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Ресурсы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Работа и последующее обслуживание имеют подтверждённое обеспечение.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Действие</w:t>
            </w:r>
          </w:p>
        </w:tc>
        <w:tc>
          <w:tcPr>
            <w:tcW w:type="dxa" w:w="71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Есть журнал фактически выполненных работ и отклонений.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Результат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Показан полезный выход; действия и эффект не смешаны.</w:t>
            </w:r>
          </w:p>
        </w:tc>
      </w:tr>
      <w:tr>
        <w:trPr>
          <w:cantSplit/>
        </w:trPr>
        <w:tc>
          <w:tcPr>
            <w:tcW w:type="dxa" w:w="260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Доказательство</w:t>
            </w:r>
          </w:p>
        </w:tc>
        <w:tc>
          <w:tcPr>
            <w:tcW w:type="dxa" w:w="7143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Независимость проверки раскрыта, ограничения и ошибки сохранены.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Решение</w:t>
            </w:r>
          </w:p>
        </w:tc>
        <w:tc>
          <w:tcPr>
            <w:tcW w:type="dxa" w:w="7143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Выбрано: продолжить, изменить, повторить, приостановить либо завершить.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Small"/>
      </w:pPr>
      <w:r>
        <w:rPr>
          <w:b w:val="0"/>
        </w:rPr>
        <w:t>Все пять пилотов используют одни формуляры приложения В. Это позволяет сравнивать управляемость программ, не заставляя разные области измерять полезный эффект одинаковой физической величиной.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17</w:t>
      </w:r>
    </w:p>
    <w:p>
      <w:bookmarkStart w:id="20" w:name="c17"/>
      <w:pPr>
        <w:pStyle w:val="Heading1"/>
      </w:pPr>
      <w:r>
        <w:t>Дорожная карта на 365 дней</w:t>
      </w:r>
      <w:bookmarkEnd w:id="20"/>
    </w:p>
    <w:p>
      <w:r>
        <w:rPr>
          <w:b w:val="0"/>
        </w:rPr>
        <w:t>День 0 — дата отдельного решения о запуске после подтверждения участников и ресурсов. Она не назначается автоматически датой выпуска книги. Календарь ниже — проектная последовательность с контрольными условиями, а не обещание неизбежного результата.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928"/>
        <w:gridCol w:w="3855"/>
        <w:gridCol w:w="3969"/>
      </w:tblGrid>
      <w:tr>
        <w:trPr>
          <w:tblHeader w:val="true"/>
        </w:trPr>
        <w:tc>
          <w:tcPr>
            <w:tcW w:type="dxa" w:w="192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Этап</w:t>
            </w:r>
          </w:p>
        </w:tc>
        <w:tc>
          <w:tcPr>
            <w:tcW w:type="dxa" w:w="3855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Работа</w:t>
            </w:r>
          </w:p>
        </w:tc>
        <w:tc>
          <w:tcPr>
            <w:tcW w:type="dxa" w:w="3969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Результат для перехода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0–30</w:t>
              <w:br/>
              <w:t>Основания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Согласование цели, участников, границ, ролей и ограничений. Выбор пилотов.</w:t>
            </w:r>
          </w:p>
        </w:tc>
        <w:tc>
          <w:tcPr>
            <w:tcW w:type="dxa" w:w="396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Подписанные или иным образом надлежаще оформленные основания участия; владельцы задач.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31–60</w:t>
              <w:br/>
              <w:t>Исходная картина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Паспорта объектов, исходные измерения, реестр документов и карта рисков.</w:t>
            </w:r>
          </w:p>
        </w:tc>
        <w:tc>
          <w:tcPr>
            <w:tcW w:type="dxa" w:w="396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Достаточные исходные данные; выявленные пробелы не скрыты.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61–90</w:t>
              <w:br/>
              <w:t>Проектирование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Варианты решения, смета жизненного цикла, договоры и план проверки.</w:t>
            </w:r>
          </w:p>
        </w:tc>
        <w:tc>
          <w:tcPr>
            <w:tcW w:type="dxa" w:w="396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Подтверждённое обеспечение первого этапа и понятные условия приёмки.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91–180</w:t>
              <w:br/>
              <w:t>Исполнение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Ограниченный запуск, наблюдение, регистрация событий и корректировки.</w:t>
            </w:r>
          </w:p>
        </w:tc>
        <w:tc>
          <w:tcPr>
            <w:tcW w:type="dxa" w:w="396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Работы выполнены; инциденты рассмотрены; данные доступны проверке.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181–270</w:t>
              <w:br/>
              <w:t>Проверка</w:t>
            </w:r>
          </w:p>
        </w:tc>
        <w:tc>
          <w:tcPr>
            <w:tcW w:type="dxa" w:w="3855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Сопоставление результатов, повторные проверки и анализ побочных эффектов.</w:t>
            </w:r>
          </w:p>
        </w:tc>
        <w:tc>
          <w:tcPr>
            <w:tcW w:type="dxa" w:w="396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Заключение о результате с ограничениями и решением по продолжению.</w:t>
            </w:r>
          </w:p>
        </w:tc>
      </w:tr>
      <w:tr>
        <w:trPr>
          <w:cantSplit/>
        </w:trPr>
        <w:tc>
          <w:tcPr>
            <w:tcW w:type="dxa" w:w="192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Дни 271–365</w:t>
              <w:br/>
              <w:t>Закрепление</w:t>
            </w:r>
          </w:p>
        </w:tc>
        <w:tc>
          <w:tcPr>
            <w:tcW w:type="dxa" w:w="3855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Обслуживание, передача знаний, обновление книги и отбор следующего цикла.</w:t>
            </w:r>
          </w:p>
        </w:tc>
        <w:tc>
          <w:tcPr>
            <w:tcW w:type="dxa" w:w="396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Устойчивый режим работы либо документированное прекращение; опубликованные уроки.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Ритм управления</w:t>
      </w:r>
    </w:p>
    <w:p>
      <w:r>
        <w:rPr>
          <w:b w:val="0"/>
        </w:rPr>
        <w:t>Команда ведёт журнал событий по мере возникновения. На рабочем обзоре проверяются действия и препятствия. Ежемесячный обзор сверяет ресурсы, обязательства и изменения балансов. Квартальный обзор рассматривает качество результата, риски и основания продолжать программу. Периодичность уточняется по риску и скорости процесса.</w:t>
      </w:r>
    </w:p>
    <w:p>
      <w:pPr>
        <w:pStyle w:val="Heading2"/>
      </w:pPr>
      <w:r>
        <w:t>Что должно появиться к концу первого цикла</w:t>
      </w:r>
    </w:p>
    <w:p>
      <w:r>
        <w:rPr>
          <w:b w:val="0"/>
        </w:rPr>
        <w:t>Не отчёт о построенной мировой системе, а несколько проверенных управленческих цепочек; исходные и итоговые данные; действующие паспорта балансов; восстановимый реестр документов; понятные правила совместной работы; решения о масштабировании тех подходов, которые действительно выдержали проверку.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КРИТЕРИЙ МАСШТАБИРОВАНИЯ</w:t>
            </w:r>
          </w:p>
          <w:p>
            <w:pPr>
              <w:widowControl/>
              <w:spacing w:after="160"/>
            </w:pPr>
            <w:r>
              <w:t>Другой компетентный участник способен понять метод, воспроизвести действие в сопоставимых условиях, проверить результат и поддерживать его без скрытых обязательств и неопределённых источников финансирования.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18</w:t>
      </w:r>
    </w:p>
    <w:p>
      <w:bookmarkStart w:id="21" w:name="c18"/>
      <w:pPr>
        <w:pStyle w:val="Heading1"/>
      </w:pPr>
      <w:r>
        <w:t>Риски, ограничения и условия остановки</w:t>
      </w:r>
      <w:bookmarkEnd w:id="21"/>
    </w:p>
    <w:p>
      <w:r>
        <w:rPr>
          <w:b w:val="0"/>
        </w:rPr>
        <w:t>Система рисков нужна не для отказа от смелых целей, а для раннего обнаружения ошибок до того, как они затронут людей и устойчивость программы. Риск получает владельца, признак наступления, меру снижения и заранее согласованное действие.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211"/>
        <w:gridCol w:w="3458"/>
        <w:gridCol w:w="4082"/>
      </w:tblGrid>
      <w:tr>
        <w:trPr>
          <w:tblHeader w:val="true"/>
        </w:trPr>
        <w:tc>
          <w:tcPr>
            <w:tcW w:type="dxa" w:w="221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Риск</w:t>
            </w:r>
          </w:p>
        </w:tc>
        <w:tc>
          <w:tcPr>
            <w:tcW w:type="dxa" w:w="3458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Ранний признак</w:t>
            </w:r>
          </w:p>
        </w:tc>
        <w:tc>
          <w:tcPr>
            <w:tcW w:type="dxa" w:w="408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Защитное действие</w:t>
            </w:r>
          </w:p>
        </w:tc>
      </w:tr>
      <w:tr>
        <w:trPr>
          <w:cantSplit/>
        </w:trPr>
        <w:tc>
          <w:tcPr>
            <w:tcW w:type="dxa" w:w="221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Смешение образа и факта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Символ или гипотеза используются как доказательство.</w:t>
            </w:r>
          </w:p>
        </w:tc>
        <w:tc>
          <w:tcPr>
            <w:tcW w:type="dxa" w:w="408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Вернуть утверждению корректный статус; назначить проверку.</w:t>
            </w:r>
          </w:p>
        </w:tc>
      </w:tr>
      <w:tr>
        <w:trPr>
          <w:cantSplit/>
        </w:trPr>
        <w:tc>
          <w:tcPr>
            <w:tcW w:type="dxa" w:w="221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Недостаточные полномочия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Нет основания распоряжаться ресурсом или данными.</w:t>
            </w:r>
          </w:p>
        </w:tc>
        <w:tc>
          <w:tcPr>
            <w:tcW w:type="dxa" w:w="408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Приостановить соответствующее действие до подтверждения.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Неподтверждённое финансирование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Смета опирается на обещания или спорный титул.</w:t>
            </w:r>
          </w:p>
        </w:tc>
        <w:tc>
          <w:tcPr>
            <w:tcW w:type="dxa" w:w="408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 принимать новые обязательства; пересобрать обеспечение.</w:t>
            </w:r>
          </w:p>
        </w:tc>
      </w:tr>
      <w:tr>
        <w:trPr>
          <w:cantSplit/>
        </w:trPr>
        <w:tc>
          <w:tcPr>
            <w:tcW w:type="dxa" w:w="221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Двойной учёт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Одна поставка или эффект показаны несколько раз.</w:t>
            </w:r>
          </w:p>
        </w:tc>
        <w:tc>
          <w:tcPr>
            <w:tcW w:type="dxa" w:w="408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Сверить идентификаторы и границы консолидации.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Недостоверные данные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Нет происхождения, методики или сопоставимого периода.</w:t>
            </w:r>
          </w:p>
        </w:tc>
        <w:tc>
          <w:tcPr>
            <w:tcW w:type="dxa" w:w="408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Исключить из подтверждённого итога, сохранив запись ошибки.</w:t>
            </w:r>
          </w:p>
        </w:tc>
      </w:tr>
      <w:tr>
        <w:trPr>
          <w:cantSplit/>
        </w:trPr>
        <w:tc>
          <w:tcPr>
            <w:tcW w:type="dxa" w:w="221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Вред человеку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Ухудшение безопасности, доступности или защита данных нарушена.</w:t>
            </w:r>
          </w:p>
        </w:tc>
        <w:tc>
          <w:tcPr>
            <w:tcW w:type="dxa" w:w="408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Немедленная защита участников и профильное расследование.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Вред биосфере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Негативное изменение за пределами согласованных ограничений.</w:t>
            </w:r>
          </w:p>
        </w:tc>
        <w:tc>
          <w:tcPr>
            <w:tcW w:type="dxa" w:w="408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Остановить воздействие и выполнить план восстановления.</w:t>
            </w:r>
          </w:p>
        </w:tc>
      </w:tr>
      <w:tr>
        <w:trPr>
          <w:cantSplit/>
        </w:trPr>
        <w:tc>
          <w:tcPr>
            <w:tcW w:type="dxa" w:w="221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Концентрация контроля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Одна сторона задаёт данные, решение и собственную проверку.</w:t>
            </w:r>
          </w:p>
        </w:tc>
        <w:tc>
          <w:tcPr>
            <w:tcW w:type="dxa" w:w="408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Разделить функции и включить независимый пересмотр.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Неустойчивое обслуживание</w:t>
            </w:r>
          </w:p>
        </w:tc>
        <w:tc>
          <w:tcPr>
            <w:tcW w:type="dxa" w:w="3458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Нет кадров, запчастей, бюджета или ответственного.</w:t>
            </w:r>
          </w:p>
        </w:tc>
        <w:tc>
          <w:tcPr>
            <w:tcW w:type="dxa" w:w="408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 масштабировать; восстановить эксплуатационную модель.</w:t>
            </w:r>
          </w:p>
        </w:tc>
      </w:tr>
      <w:tr>
        <w:trPr>
          <w:cantSplit/>
        </w:trPr>
        <w:tc>
          <w:tcPr>
            <w:tcW w:type="dxa" w:w="221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Недоверие и исключение людей</w:t>
            </w:r>
          </w:p>
        </w:tc>
        <w:tc>
          <w:tcPr>
            <w:tcW w:type="dxa" w:w="3458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Участники не понимают условия либо не могут оспорить решение.</w:t>
            </w:r>
          </w:p>
        </w:tc>
        <w:tc>
          <w:tcPr>
            <w:tcW w:type="dxa" w:w="408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Пересмотреть коммуникацию, доступ и процедуру жалобы.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Безусловные основания для паузы</w:t>
      </w:r>
    </w:p>
    <w:p>
      <w:r>
        <w:rPr>
          <w:b w:val="0"/>
        </w:rPr>
        <w:t>Непосредственная угроза жизни; существенное нарушение согласованных прав участников; работа вне подтверждённых полномочий; подмена первичных данных; необеспеченные обязательства, угрожающие продолжению критической услуги. Конкретные пороги и порядок экстренных действий определяются в паспорте пилота до запуска.</w:t>
      </w:r>
    </w:p>
    <w:p>
      <w:pPr>
        <w:pStyle w:val="Heading2"/>
      </w:pPr>
      <w:r>
        <w:t>Разбор без сокрытия</w:t>
      </w:r>
    </w:p>
    <w:p>
      <w:r>
        <w:rPr>
          <w:b w:val="0"/>
        </w:rPr>
        <w:t>После инцидента сохраняются данные, защищаются участники и разделяются непосредственная причина, организационные условия и системная ошибка. Возобновление требует подтверждённого устранения причины, а не только нового обещания. Закрытие неудачного пилота с полезным уроком лучше продолжения ради красивого отчёта.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ГЛАВА 19</w:t>
      </w:r>
    </w:p>
    <w:p>
      <w:bookmarkStart w:id="22" w:name="c19"/>
      <w:pPr>
        <w:pStyle w:val="Heading1"/>
      </w:pPr>
      <w:r>
        <w:t>Принятие, обновление и общее обязательство</w:t>
      </w:r>
      <w:bookmarkEnd w:id="22"/>
    </w:p>
    <w:p>
      <w:r>
        <w:rPr>
          <w:b w:val="0"/>
        </w:rPr>
        <w:t>Белая книга предлагается как открытая архитектура совместного действия. Она допускает поэтапное принятие: участник может согласовать цели конкретного пилота и правила проверки, не принимая все философские положения или весь долгосрочный образ будущего.</w:t>
      </w:r>
    </w:p>
    <w:p>
      <w:pPr>
        <w:pStyle w:val="Heading2"/>
      </w:pPr>
      <w:r>
        <w:t>Порядок принятия</w:t>
      </w:r>
    </w:p>
    <w:p>
      <w:r>
        <w:rPr>
          <w:b w:val="0"/>
        </w:rPr>
        <w:t>Сначала обсуждаются границы применения, принципы и запреты на подмену фактов. Затем согласуются рабочие классификаторы, роли, пилоты и формы записи. После проверки ресурсов и полномочий принимается отдельное решение о запуске. Само ознакомление с книгой не создаёт обязательств.</w:t>
      </w:r>
    </w:p>
    <w:p>
      <w:pPr>
        <w:pStyle w:val="Heading2"/>
      </w:pPr>
      <w:r>
        <w:t>Порядок изменения</w:t>
      </w:r>
    </w:p>
    <w:p>
      <w:r>
        <w:rPr>
          <w:b w:val="0"/>
        </w:rPr>
        <w:t>Предложение получает идентификатор, автора, обоснование, затронутые статьи и оценку последствий. Редакционная группа публикует сравнение версий и собирает возражения. Изменения принципов, прав участников и ресурсных обязательств не маскируются технической правкой. Новая версия фиксирует дату действия и переходный порядок.</w:t>
      </w:r>
    </w:p>
    <w:p>
      <w:pPr>
        <w:pStyle w:val="Heading2"/>
      </w:pPr>
      <w:r>
        <w:t>Что сохраняется независимо от версии</w:t>
      </w:r>
    </w:p>
    <w:p>
      <w:r>
        <w:rPr>
          <w:b w:val="0"/>
        </w:rPr>
        <w:t>Достоинство человека; добровольность участия; различение знания и предположения; проверяемость существенных результатов; прозрачность полномочий; ответственность за последствия; право на исправление и пересмотр. Формат реестра, число рабочих сервисов и конкретные проектные решения могут изменяться, когда это обосновано.</w:t>
      </w:r>
    </w:p>
    <w:p>
      <w:pPr>
        <w:pStyle w:val="Heading2"/>
      </w:pPr>
      <w:r>
        <w:t>Ближайшие решения для согласования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361"/>
        <w:gridCol w:w="8391"/>
      </w:tblGrid>
      <w:tr>
        <w:trPr>
          <w:tblHeader w:val="true"/>
        </w:trPr>
        <w:tc>
          <w:tcPr>
            <w:tcW w:type="dxa" w:w="136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Решение</w:t>
            </w:r>
          </w:p>
        </w:tc>
        <w:tc>
          <w:tcPr>
            <w:tcW w:type="dxa" w:w="839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Предмет согласования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РД-01</w:t>
            </w:r>
          </w:p>
        </w:tc>
        <w:tc>
          <w:tcPr>
            <w:tcW w:type="dxa" w:w="83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Принять название и назначение мастер-документа, сохранив историю «Белой Книги Судьбы».</w:t>
            </w:r>
          </w:p>
        </w:tc>
      </w:tr>
      <w:tr>
        <w:trPr>
          <w:cantSplit/>
        </w:trPr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РД-02</w:t>
            </w:r>
          </w:p>
        </w:tc>
        <w:tc>
          <w:tcPr>
            <w:tcW w:type="dxa" w:w="839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Рассмотреть авторские 16 Конов и 19 статей Завета; зафиксировать замечания.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РД-03</w:t>
            </w:r>
          </w:p>
        </w:tc>
        <w:tc>
          <w:tcPr>
            <w:tcW w:type="dxa" w:w="83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Сопоставить классификаторы D01–D19 и B01–B19 с исходными паспортами прежних работ.</w:t>
            </w:r>
          </w:p>
        </w:tc>
      </w:tr>
      <w:tr>
        <w:trPr>
          <w:cantSplit/>
        </w:trPr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РД-04</w:t>
            </w:r>
          </w:p>
        </w:tc>
        <w:tc>
          <w:tcPr>
            <w:tcW w:type="dxa" w:w="839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Выбрать ограниченный набор пилотов, участников и условия запуска.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РД-05</w:t>
            </w:r>
          </w:p>
        </w:tc>
        <w:tc>
          <w:tcPr>
            <w:tcW w:type="dxa" w:w="839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Начать загрузку исходных документов и подтверждение ресурсного обеспечения.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ОБЩЕЕ ОБЯЗАТЕЛЬСТВО</w:t>
            </w:r>
          </w:p>
          <w:p>
            <w:pPr>
              <w:widowControl/>
              <w:spacing w:after="160"/>
            </w:pPr>
            <w:r>
              <w:t>Мы соединяем свободу с ответственностью, знание с проверкой, развитие с восстановлением и личную инициативу с сотрудничеством. Мы не обещаем будущее вместо действия: мы последовательно создаём условия, при которых достойная жизнь становится возможнее для каждого.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А</w:t>
      </w:r>
    </w:p>
    <w:p>
      <w:bookmarkStart w:id="23" w:name="appA"/>
      <w:pPr>
        <w:pStyle w:val="Heading1"/>
      </w:pPr>
      <w:r>
        <w:t>Паспорта 19 балансов</w:t>
      </w:r>
      <w:bookmarkEnd w:id="23"/>
    </w:p>
    <w:p>
      <w:pPr>
        <w:pStyle w:val="Small"/>
      </w:pPr>
      <w:r>
        <w:rPr>
          <w:b w:val="0"/>
        </w:rPr>
        <w:t>Рабочая редакционная номенклатура. Паспорта описывают предмет учёта; исходные значения, целевые уровни, владельцы данных и методики реальных объектов определяются при запуске. Нумерация требует сверки с прежними исходными формулярами.</w:t>
      </w:r>
    </w:p>
    <w:p>
      <w:pPr>
        <w:pStyle w:val="Heading2"/>
      </w:pPr>
      <w:r>
        <w:t>B01. Демографический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Население территории и движение возрастных групп; без денежной оценки человека.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Численность по возрастам, чел.; рождения, смерти и миграция за период, чел.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B12, B13, B10. </w:t>
      </w:r>
      <w:r>
        <w:rPr>
          <w:b/>
        </w:rPr>
        <w:t>Первое действие.</w:t>
      </w:r>
      <w:r>
        <w:rPr>
          <w:b w:val="0"/>
        </w:rPr>
        <w:t xml:space="preserve"> Согласовать границы территории, дату и источники; отделить наблюдение от сценария.</w:t>
      </w:r>
    </w:p>
    <w:p>
      <w:pPr>
        <w:pStyle w:val="Heading2"/>
      </w:pPr>
      <w:r>
        <w:t>B02. Природный и биосферный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Экосистемы в фиксированных пространственных границах: площадь, состояние и функции.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Площадь по типам, га; доля обследованных участков, %; профиль состояния по методике.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B03, B05, B04. </w:t>
      </w:r>
      <w:r>
        <w:rPr>
          <w:b/>
        </w:rPr>
        <w:t>Первое действие.</w:t>
      </w:r>
      <w:r>
        <w:rPr>
          <w:b w:val="0"/>
        </w:rPr>
        <w:t xml:space="preserve"> Создать карту участков и программу повторных наблюдений; не сводить всю природу к одной цене.</w:t>
      </w:r>
    </w:p>
    <w:p>
      <w:pPr>
        <w:pStyle w:val="Heading2"/>
      </w:pPr>
      <w:r>
        <w:t>B03. Водный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Забор, поступление, хранение, использование, возврат и потери воды; качество учитывается отдельно.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Объёмы за период, м³; изменение запасов, м³; качество проб по выбранной методике.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B02, B04, B08. </w:t>
      </w:r>
      <w:r>
        <w:rPr>
          <w:b/>
        </w:rPr>
        <w:t>Первое действие.</w:t>
      </w:r>
      <w:r>
        <w:rPr>
          <w:b w:val="0"/>
        </w:rPr>
        <w:t xml:space="preserve"> Утвердить точки учёта, приборы, интервалы и перечень допустимых корректировок.</w:t>
      </w:r>
    </w:p>
    <w:p>
      <w:pPr>
        <w:pStyle w:val="Heading2"/>
      </w:pPr>
      <w:r>
        <w:t>B04. Энергетический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Производство, импорт, преобразование, потребление, экспорт и накопление энергии.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Энергия, кВт·ч; мощность, кВт; отдельный профиль тепла; перерывы снабжения, ч.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B03, B06, B07. </w:t>
      </w:r>
      <w:r>
        <w:rPr>
          <w:b/>
        </w:rPr>
        <w:t>Первое действие.</w:t>
      </w:r>
      <w:r>
        <w:rPr>
          <w:b w:val="0"/>
        </w:rPr>
        <w:t xml:space="preserve"> Разделить мощность и выработку; сопоставить счётчики, договоры и фактическую поставку.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А • ПРОДОЛЖЕНИЕ</w:t>
      </w:r>
    </w:p>
    <w:p>
      <w:pPr>
        <w:pStyle w:val="Heading1"/>
      </w:pPr>
      <w:r>
        <w:t>Паспорта балансов B05–B08</w:t>
      </w:r>
    </w:p>
    <w:p>
      <w:pPr>
        <w:pStyle w:val="Heading2"/>
      </w:pPr>
      <w:r>
        <w:t>B05. Продовольственный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Потоки пищевых продуктов и запасы по сопоставимым категориям; питание — отдельная оценка.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Выпуск, ввоз, вывоз, потребление и потери, т по категориям; дни обеспеченности.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B02, B03, B12. </w:t>
      </w:r>
      <w:r>
        <w:rPr>
          <w:b/>
        </w:rPr>
        <w:t>Первое действие.</w:t>
      </w:r>
      <w:r>
        <w:rPr>
          <w:b w:val="0"/>
        </w:rPr>
        <w:t xml:space="preserve"> Выделить базовую корзину и прослеживаемость; не складывать разные продукты без основания.</w:t>
      </w:r>
    </w:p>
    <w:p>
      <w:pPr>
        <w:pStyle w:val="Heading2"/>
      </w:pPr>
      <w:r>
        <w:t>B06. Материальный и производственный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Материалы, изделия, производственные мощности, вторичные ресурсы и отходы.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Потоки материалов, т по видам; выпуск, ед.; доступная мощность; доля возврата, %.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B04, B11, B15. </w:t>
      </w:r>
      <w:r>
        <w:rPr>
          <w:b/>
        </w:rPr>
        <w:t>Первое действие.</w:t>
      </w:r>
      <w:r>
        <w:rPr>
          <w:b w:val="0"/>
        </w:rPr>
        <w:t xml:space="preserve"> Собрать спецификации, маршруты и паспорта испытаний; исключить повторный учёт одного изделия.</w:t>
      </w:r>
    </w:p>
    <w:p>
      <w:pPr>
        <w:pStyle w:val="Heading2"/>
      </w:pPr>
      <w:r>
        <w:t>B07. Финансовый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Деньги, подтверждённые требования, обязательства и источники покрытия по владельцам и валютам.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Остатки и потоки в каждой валюте; сроки платежей; кассовый разрыв; стоимость обслуживания.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Все балансы через затраты и обязательства. </w:t>
      </w:r>
      <w:r>
        <w:rPr>
          <w:b/>
        </w:rPr>
        <w:t>Первое действие.</w:t>
      </w:r>
      <w:r>
        <w:rPr>
          <w:b w:val="0"/>
        </w:rPr>
        <w:t xml:space="preserve"> Отделить фактические средства от заявок и прогнозов; подтвердить основания и полномочия.</w:t>
      </w:r>
    </w:p>
    <w:p>
      <w:pPr>
        <w:pStyle w:val="Heading2"/>
      </w:pPr>
      <w:r>
        <w:t>B08. Инфраструктурный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Физические объекты жилья, ЖКХ и общей инфраструктуры; услуги транспорта — в B15.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Объекты, ед.; длина сетей, км; мощность по видам; дефекты; затраты жизненного цикла.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B03, B04, B15. </w:t>
      </w:r>
      <w:r>
        <w:rPr>
          <w:b/>
        </w:rPr>
        <w:t>Первое действие.</w:t>
      </w:r>
      <w:r>
        <w:rPr>
          <w:b w:val="0"/>
        </w:rPr>
        <w:t xml:space="preserve"> Создать объектные паспорта и план обслуживания; различать наличие объекта и качество услуги.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А • ПРОДОЛЖЕНИЕ</w:t>
      </w:r>
    </w:p>
    <w:p>
      <w:pPr>
        <w:pStyle w:val="Heading1"/>
      </w:pPr>
      <w:r>
        <w:t>Паспорта балансов B09–B12</w:t>
      </w:r>
    </w:p>
    <w:p>
      <w:pPr>
        <w:pStyle w:val="Heading2"/>
      </w:pPr>
      <w:r>
        <w:t>B09. Трудовой и компетентностный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Рабочие места, доступное рабочее время, квалификации и безопасность труда.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Занятые и вакансии, чел.; человеко-часы; подтверждённые навыки; нарушения безопасности.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B10, B14, B13. </w:t>
      </w:r>
      <w:r>
        <w:rPr>
          <w:b/>
        </w:rPr>
        <w:t>Первое действие.</w:t>
      </w:r>
      <w:r>
        <w:rPr>
          <w:b w:val="0"/>
        </w:rPr>
        <w:t xml:space="preserve"> Сопоставить спрос на работы с добровольным участием людей и программами обучения.</w:t>
      </w:r>
    </w:p>
    <w:p>
      <w:pPr>
        <w:pStyle w:val="Heading2"/>
      </w:pPr>
      <w:r>
        <w:t>B10. Образовательный и знаниевый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Образовательные потребности, доступ к обучению, освоение компетенций и передача знаний.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Участники, чел.; учебные места; завершение программ, %; подтверждённые результаты освоения.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B09, B11, B17. </w:t>
      </w:r>
      <w:r>
        <w:rPr>
          <w:b/>
        </w:rPr>
        <w:t>Первое действие.</w:t>
      </w:r>
      <w:r>
        <w:rPr>
          <w:b w:val="0"/>
        </w:rPr>
        <w:t xml:space="preserve"> Определить способы оценки освоения, а не только часы присутствия или число сертификатов.</w:t>
      </w:r>
    </w:p>
    <w:p>
      <w:pPr>
        <w:pStyle w:val="Heading2"/>
      </w:pPr>
      <w:r>
        <w:t>B11. Научно-технологический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Исследования, гипотезы, испытания и зрелость технологий в границах конкретных задач.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Эксперименты и воспроизведения, ед.; выполненные критерии; доступность оборудования, ч.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B06, B10, B16. </w:t>
      </w:r>
      <w:r>
        <w:rPr>
          <w:b/>
        </w:rPr>
        <w:t>Первое действие.</w:t>
      </w:r>
      <w:r>
        <w:rPr>
          <w:b w:val="0"/>
        </w:rPr>
        <w:t xml:space="preserve"> Развести идею, прототип, валидацию и эксплуатацию; сохранять отрицательные результаты.</w:t>
      </w:r>
    </w:p>
    <w:p>
      <w:pPr>
        <w:pStyle w:val="Heading2"/>
      </w:pPr>
      <w:r>
        <w:t>B12. Здоровья и функциональной самостоятельности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Потребности в помощи, доступность услуг и изменения функций человека; чувствительные данные защищены.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Ожидание помощи, дни; охват нуждающихся, %; согласованные функциональные исходы.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B01, B05, B13. </w:t>
      </w:r>
      <w:r>
        <w:rPr>
          <w:b/>
        </w:rPr>
        <w:t>Первое действие.</w:t>
      </w:r>
      <w:r>
        <w:rPr>
          <w:b w:val="0"/>
        </w:rPr>
        <w:t xml:space="preserve"> Утвердить согласие, маршрут помощи и профессиональные критерии оценки; не обещать лечебный эффект.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А • ПРОДОЛЖЕНИЕ</w:t>
      </w:r>
    </w:p>
    <w:p>
      <w:pPr>
        <w:pStyle w:val="Heading1"/>
      </w:pPr>
      <w:r>
        <w:t>Паспорта балансов B13–B16</w:t>
      </w:r>
    </w:p>
    <w:p>
      <w:pPr>
        <w:pStyle w:val="Heading2"/>
      </w:pPr>
      <w:r>
        <w:t>B13. Социального благополучия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Доступность базовых благ и поддержки; распределение результатов между группами.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Неудовлетворённые потребности, чел.; расходы семьи на базовые услуги, %; доступность поддержки.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B07, B09, B12. </w:t>
      </w:r>
      <w:r>
        <w:rPr>
          <w:b/>
        </w:rPr>
        <w:t>Первое действие.</w:t>
      </w:r>
      <w:r>
        <w:rPr>
          <w:b w:val="0"/>
        </w:rPr>
        <w:t xml:space="preserve"> Описать критерии нуждаемости, защиту данных и процедуру обжалования отказа.</w:t>
      </w:r>
    </w:p>
    <w:p>
      <w:pPr>
        <w:pStyle w:val="Heading2"/>
      </w:pPr>
      <w:r>
        <w:t>B14. Предпринимательский и кооперационный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Устойчивость производственных связей, выполнение договоров и участие кооперативных объединений.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Активные договоры, ед.; исполнение в срок, %; сроки расчётов, дни; повторные заказы.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B06, B07, B09. </w:t>
      </w:r>
      <w:r>
        <w:rPr>
          <w:b/>
        </w:rPr>
        <w:t>Первое действие.</w:t>
      </w:r>
      <w:r>
        <w:rPr>
          <w:b w:val="0"/>
        </w:rPr>
        <w:t xml:space="preserve"> Проверить реальность поставок и распределение ответственности; не считать число участников успехом.</w:t>
      </w:r>
    </w:p>
    <w:p>
      <w:pPr>
        <w:pStyle w:val="Heading2"/>
      </w:pPr>
      <w:r>
        <w:t>B15. Транспортно-логистический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Перемещения людей и грузов и доступность маршрутов; объекты инфраструктуры связаны с B08.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Время доступа, мин; пассажиро-км; тонно-км; надёжность доставки, %; простои, ч.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B06, B08, B04. </w:t>
      </w:r>
      <w:r>
        <w:rPr>
          <w:b/>
        </w:rPr>
        <w:t>Первое действие.</w:t>
      </w:r>
      <w:r>
        <w:rPr>
          <w:b w:val="0"/>
        </w:rPr>
        <w:t xml:space="preserve"> Описать узкие места и расчёт нагрузки; не дублировать стоимость объектов в двух балансах.</w:t>
      </w:r>
    </w:p>
    <w:p>
      <w:pPr>
        <w:pStyle w:val="Heading2"/>
      </w:pPr>
      <w:r>
        <w:t>B16. Информационный и вычислительный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Данные, связь, вычислительные задания, доступность сервисов и происхождение результатов.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Доступность, %; задержка, с; задания, ед.; проверенные записи, %; расход энергии.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B11, B18, B04. </w:t>
      </w:r>
      <w:r>
        <w:rPr>
          <w:b/>
        </w:rPr>
        <w:t>Первое действие.</w:t>
      </w:r>
      <w:r>
        <w:rPr>
          <w:b w:val="0"/>
        </w:rPr>
        <w:t xml:space="preserve"> Ввести идентификаторы, контроль версий, журнал доступа и тест восстановления из резервной копии.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А • ПРОДОЛЖЕНИЕ</w:t>
      </w:r>
    </w:p>
    <w:p>
      <w:pPr>
        <w:pStyle w:val="Heading1"/>
      </w:pPr>
      <w:r>
        <w:t>Паспорта балансов B17–B19</w:t>
      </w:r>
    </w:p>
    <w:p>
      <w:pPr>
        <w:pStyle w:val="Heading2"/>
      </w:pPr>
      <w:r>
        <w:t>B17. Культурный и наследия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Объекты и практики наследия, права доступа, состояние сохранности и передача памяти.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Описанные единицы, ед.; проверенные цифровые копии, %; участие сообществ; события передачи знаний.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B10, B13, B16. </w:t>
      </w:r>
      <w:r>
        <w:rPr>
          <w:b/>
        </w:rPr>
        <w:t>Первое действие.</w:t>
      </w:r>
      <w:r>
        <w:rPr>
          <w:b w:val="0"/>
        </w:rPr>
        <w:t xml:space="preserve"> Зафиксировать происхождение, авторство и согласие; не присваивать чужое наследие общей системой.</w:t>
      </w:r>
    </w:p>
    <w:p>
      <w:pPr>
        <w:pStyle w:val="Heading2"/>
      </w:pPr>
      <w:r>
        <w:t>B18. Институциональный и правовой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Полномочия, решения, договорённости, процедуры контроля и рассмотрение обращений.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Решения с ответственным, %; срок ответа, дни; рассмотренные споры; конфликты интересов.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B07, B16, B19. </w:t>
      </w:r>
      <w:r>
        <w:rPr>
          <w:b/>
        </w:rPr>
        <w:t>Первое действие.</w:t>
      </w:r>
      <w:r>
        <w:rPr>
          <w:b w:val="0"/>
        </w:rPr>
        <w:t xml:space="preserve"> Создать реестр полномочий и канал независимого пересмотра; отделить проект от действующих органов.</w:t>
      </w:r>
    </w:p>
    <w:p>
      <w:pPr>
        <w:pStyle w:val="Heading2"/>
      </w:pPr>
      <w:r>
        <w:t>B19. Безопасности, мира и устойчивости</w:t>
      </w:r>
    </w:p>
    <w:p>
      <w:r>
        <w:rPr>
          <w:b w:val="0"/>
        </w:rPr>
      </w:r>
      <w:r>
        <w:rPr>
          <w:b/>
        </w:rPr>
        <w:t>Граница.</w:t>
      </w:r>
      <w:r>
        <w:rPr>
          <w:b w:val="0"/>
        </w:rPr>
        <w:t xml:space="preserve"> Угрозы, инциденты, предотвращение вреда, готовность к восстановлению и мирному взаимодействию.</w:t>
      </w:r>
    </w:p>
    <w:p>
      <w:r>
        <w:rPr>
          <w:b w:val="0"/>
        </w:rPr>
      </w:r>
      <w:r>
        <w:rPr>
          <w:b/>
        </w:rPr>
        <w:t>Показатели и единицы.</w:t>
      </w:r>
      <w:r>
        <w:rPr>
          <w:b w:val="0"/>
        </w:rPr>
        <w:t xml:space="preserve"> Инциденты по классам, ед.; время реагирования и восстановления; проверенные меры готовности.</w:t>
      </w:r>
    </w:p>
    <w:p>
      <w:r>
        <w:rPr>
          <w:b w:val="0"/>
        </w:rPr>
      </w:r>
      <w:r>
        <w:rPr>
          <w:b/>
        </w:rPr>
        <w:t>Связи.</w:t>
      </w:r>
      <w:r>
        <w:rPr>
          <w:b w:val="0"/>
        </w:rPr>
        <w:t xml:space="preserve"> B18, B08, B12. </w:t>
      </w:r>
      <w:r>
        <w:rPr>
          <w:b/>
        </w:rPr>
        <w:t>Первое действие.</w:t>
      </w:r>
      <w:r>
        <w:rPr>
          <w:b w:val="0"/>
        </w:rPr>
        <w:t xml:space="preserve"> Определить пороги остановки опасных работ и порядок помощи; не засекречивать нарушения под видом защиты.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ОБЯЗАТЕЛЬНОЕ ДОПОЛНЕНИЕ К КАЖДОМУ ПАСПОРТУ</w:t>
            </w:r>
          </w:p>
          <w:p>
            <w:pPr>
              <w:widowControl/>
              <w:spacing w:after="160"/>
            </w:pPr>
            <w:r>
              <w:t>Территория или объект; период; исходная точка; источник; методика; ответственный; ограничение доступа; неопределённость; целевое решение; ресурсы; критерий проверки; дата следующего пересмотра.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Б</w:t>
      </w:r>
    </w:p>
    <w:p>
      <w:bookmarkStart w:id="24" w:name="appB"/>
      <w:pPr>
        <w:pStyle w:val="Heading1"/>
      </w:pPr>
      <w:r>
        <w:t>Реестр 260 измерительных позиций</w:t>
      </w:r>
      <w:bookmarkEnd w:id="24"/>
    </w:p>
    <w:p>
      <w:pPr>
        <w:pStyle w:val="Small"/>
      </w:pPr>
      <w:r>
        <w:rPr>
          <w:b w:val="0"/>
        </w:rPr>
        <w:t>Код имеет вид Pbb.mm: bb — блок 01–20, mm — ось M01–M13 из главы 09. В таблице опущена одинаковая буква P. Например, ячейка 04.08 означает P04.08 — показатель потерь в водном направлении. Таблица резервирует места, а не содержит измеренные значения.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850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>
        <w:trPr>
          <w:tblHeader w:val="true"/>
        </w:trPr>
        <w:tc>
          <w:tcPr>
            <w:tcW w:type="dxa" w:w="850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Блок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M01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M02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M03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M04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M05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M06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M07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M08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M09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M10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M11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M12</w:t>
            </w:r>
          </w:p>
        </w:tc>
        <w:tc>
          <w:tcPr>
            <w:tcW w:type="dxa" w:w="685"/>
            <w:shd w:fill="177B7D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b/>
                <w:color w:val="FFFFFF"/>
                <w:sz w:val="15"/>
              </w:rPr>
              <w:t>M13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01.13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02.13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03.13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04.13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05.13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06.13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07.13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08.13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09.13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10.13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11.13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12.13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13.13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14.13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15.13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16.13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17.13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18.13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D19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19.03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19.04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19.05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19.06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19.07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19.08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19.09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19.10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19.11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19.12</w:t>
            </w:r>
          </w:p>
        </w:tc>
        <w:tc>
          <w:tcPr>
            <w:tcW w:type="dxa" w:w="685"/>
            <w:vAlign w:val="center"/>
            <w:shd w:fill="F3F7FA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19.13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D20*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20.03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20.04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20.05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20.06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20.07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20.08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20.09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20.10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20.11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20.12</w:t>
            </w:r>
          </w:p>
        </w:tc>
        <w:tc>
          <w:tcPr>
            <w:tcW w:type="dxa" w:w="685"/>
            <w:vAlign w:val="center"/>
          </w:tcPr>
          <w:p>
            <w:pPr>
              <w:pStyle w:val="TableText"/>
              <w:keepNext w:val="0"/>
              <w:widowControl/>
              <w:spacing w:before="20" w:after="20"/>
            </w:pPr>
            <w:r>
              <w:rPr>
                <w:sz w:val="15"/>
              </w:rPr>
              <w:t>20.13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Small"/>
      </w:pPr>
      <w:r>
        <w:rPr>
          <w:b w:val="0"/>
        </w:rPr>
        <w:t>* D20 — межсистемная координация: полнота связей, исполнение решений, качество сводных данных и способность поддерживать общий цикл. Это измерительный блок, а не новое отраслевое направление или дополнительный баланс.</w:t>
      </w:r>
    </w:p>
    <w:p>
      <w:pPr>
        <w:pStyle w:val="Heading2"/>
      </w:pPr>
      <w:r>
        <w:t>Статусы заполнения</w:t>
      </w:r>
    </w:p>
    <w:p>
      <w:r>
        <w:rPr>
          <w:b w:val="0"/>
        </w:rPr>
      </w:r>
      <w:r>
        <w:rPr>
          <w:b/>
        </w:rPr>
        <w:t>Проектируется:</w:t>
      </w:r>
      <w:r>
        <w:rPr>
          <w:b w:val="0"/>
        </w:rPr>
        <w:t xml:space="preserve"> смысл и метод ещё согласуются. </w:t>
      </w:r>
      <w:r>
        <w:rPr>
          <w:b/>
        </w:rPr>
        <w:t>Нет данных:</w:t>
      </w:r>
      <w:r>
        <w:rPr>
          <w:b w:val="0"/>
        </w:rPr>
        <w:t xml:space="preserve"> паспорт определён, наблюдение отсутствует. </w:t>
      </w:r>
      <w:r>
        <w:rPr>
          <w:b/>
        </w:rPr>
        <w:t>Наблюдение получено:</w:t>
      </w:r>
      <w:r>
        <w:rPr>
          <w:b w:val="0"/>
        </w:rPr>
        <w:t xml:space="preserve"> данные есть, проверка не завершена. </w:t>
      </w:r>
      <w:r>
        <w:rPr>
          <w:b/>
        </w:rPr>
        <w:t>Проверено:</w:t>
      </w:r>
      <w:r>
        <w:rPr>
          <w:b w:val="0"/>
        </w:rPr>
        <w:t xml:space="preserve"> выполнены условия подтверждения. </w:t>
      </w:r>
      <w:r>
        <w:rPr>
          <w:b/>
        </w:rPr>
        <w:t>Неприменимо:</w:t>
      </w:r>
      <w:r>
        <w:rPr>
          <w:b w:val="0"/>
        </w:rPr>
        <w:t xml:space="preserve"> есть содержательное обоснование исключения. В этой редакции все ячейки являются резервом проектирования; заполненные фактические паспорта не заявляются.</w:t>
      </w:r>
    </w:p>
    <w:p>
      <w:pPr>
        <w:pStyle w:val="Heading2"/>
      </w:pPr>
      <w:r>
        <w:t>Пример паспорта P04.08</w:t>
      </w:r>
    </w:p>
    <w:p>
      <w:r>
        <w:rPr>
          <w:b w:val="0"/>
        </w:rPr>
        <w:t>Смысл — доля учтённых потерь воды в подаче в границах участка. Формула — потери / подача × 100%. Единица — процент. Период и точки учёта одинаковы для числителя и знаменателя. При нулевой подаче отношение не рассчитывается. Сравнение допускается после проверки границ, приборов и режима. Учебный расчёт главы 08 не меняет статус реестра на «проверено».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В • ФОРМУЛЯР Ф-01</w:t>
      </w:r>
    </w:p>
    <w:p>
      <w:bookmarkStart w:id="25" w:name="appC"/>
      <w:pPr>
        <w:pStyle w:val="Heading1"/>
      </w:pPr>
      <w:r>
        <w:t>Паспорт проекта: эталон заполнения</w:t>
      </w:r>
      <w:bookmarkEnd w:id="25"/>
    </w:p>
    <w:p>
      <w:pPr>
        <w:pStyle w:val="Small"/>
      </w:pPr>
      <w:r>
        <w:rPr>
          <w:b w:val="0"/>
        </w:rPr>
        <w:t>Учебное заполнение по условному водному участку главы 08. Не является разрешением на работы, реальным договором или отчётом о достигнутом эффекте. В реальном паспорте ролевые обозначения заменяются подтверждёнными участниками.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324"/>
        <w:gridCol w:w="7427"/>
      </w:tblGrid>
      <w:tr>
        <w:trPr>
          <w:tblHeader w:val="true"/>
        </w:trPr>
        <w:tc>
          <w:tcPr>
            <w:tcW w:type="dxa" w:w="232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42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Учебное содержание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Идентификатор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PRJ-DEMO-WATER-001; редакция 1; статус: модельный пример.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Цель и получатель результата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Уменьшить потери воды при сохранении полезной передачи, качества и надёжности услуги.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Направления и балансы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D04, D11, D13; B03, B04, B08, B07. Возможные связи с B02 и B12 требуют отдельной оценки.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Граница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Один условный участок между согласованными входным и выходными приборами; одинаковый период сравнения.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Исходное состояние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Подача 100 000 м³; передача 75 000 м³; потери 20 000 м³; рост запаса 5 000 м³.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Гипотеза действия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Ремонт выбранного участка может снизить потери без ухудшения услуги. Причинный вклад должен проверяться.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Целевой сценарий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Подача 88 000 м³; передача 75 000 м³; потери 8 000 м³; рост запаса 5 000 м³. Это расчёт, не гарантия.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Ответственность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Оператор — данные и обслуживание; исполнитель — работы; проверяющий — сопоставимость; координатор — решение.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Основания и согласие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 реального запуска подтверждаются права на работы, договоры, обязанности и ограничения использования данных.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Ресурсное обеспечение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Смета ремонта, проверка приборов, обслуживание и резерв восстановления. Денежные суммы не заданы.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Риски и остановка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Ухудшение качества, перерыв услуги, несопоставимость учёта, отсутствие обеспечения или полномочий.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Приёмка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Сопоставимые измерения, сохранённая полезная передача, раскрытые побочные эффекты, заключение проверяющего.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Следующее решение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После проверки: продолжить, изменить проект, повторить измерение либо завершить пилот.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Как использовать формуляр</w:t>
      </w:r>
    </w:p>
    <w:p>
      <w:r>
        <w:rPr>
          <w:b w:val="0"/>
        </w:rPr>
        <w:t>Координатор заполняет цель и границу вместе с пользователями результата. Оператор подтверждает возможность измерения. Исполнитель и владелец ресурса согласуют обязательства. Проверяющий заранее определяет достаточность доказательств. Подпись приёмки не ставится вместо недостающего исходного измерения.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В • ФОРМУЛЯР Ф-02</w:t>
      </w:r>
    </w:p>
    <w:p>
      <w:pPr>
        <w:pStyle w:val="Heading1"/>
      </w:pPr>
      <w:r>
        <w:t>Карточка доказательства и журнал событий</w:t>
      </w:r>
    </w:p>
    <w:p>
      <w:pPr>
        <w:pStyle w:val="Small"/>
      </w:pPr>
      <w:r>
        <w:rPr>
          <w:b w:val="0"/>
        </w:rPr>
        <w:t>Каждая значимая запись имеет происхождение и предел применимости. Приведённая карточка относится к учебному примеру; ей нельзя присвоить статус фактического измерения только потому, что арифметика верна.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324"/>
        <w:gridCol w:w="7427"/>
      </w:tblGrid>
      <w:tr>
        <w:trPr>
          <w:tblHeader w:val="true"/>
        </w:trPr>
        <w:tc>
          <w:tcPr>
            <w:tcW w:type="dxa" w:w="232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42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Обязательное содержание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Идентификатор записи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Уникальный код события или доказательства, связанный с проектом и объектом.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Утверждение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Что именно подтверждается; без расширения вывода за пределы данных.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Статус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Ц, П, Г, М, Н, В или С по главе 15; дата присвоения и основание.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Источник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Первичный файл, прибор, протокол, набор данных или свидетельство; место хранения.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Время и граница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Дата события, дата записи, часовой пояс, объект, территория и период наблюдения.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Метод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Способ получения, единица, формула, оборудование, версия программы и калибровка, где применимо.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Ответственные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Создатель записи, владелец данных и проверяющий; раскрытие возможного конфликта интересов.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Ограничения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Пропуски, ошибки, неопределённость, допущения и альтернативные объяснения.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Доступ и исправления</w:t>
            </w:r>
          </w:p>
        </w:tc>
        <w:tc>
          <w:tcPr>
            <w:tcW w:type="dxa" w:w="742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Основание доступа; история версий; исправление новой записью без скрытого удаления исходной.</w:t>
            </w:r>
          </w:p>
        </w:tc>
      </w:tr>
      <w:tr>
        <w:trPr>
          <w:cantSplit/>
        </w:trPr>
        <w:tc>
          <w:tcPr>
            <w:tcW w:type="dxa" w:w="232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Результат проверки</w:t>
            </w:r>
          </w:p>
        </w:tc>
        <w:tc>
          <w:tcPr>
            <w:tcW w:type="dxa" w:w="742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Принято в указанной области, нужны дополнительные данные, отклонено либо оспаривается.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Учебный журнал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1361"/>
        <w:gridCol w:w="4479"/>
        <w:gridCol w:w="3912"/>
      </w:tblGrid>
      <w:tr>
        <w:trPr>
          <w:tblHeader w:val="true"/>
        </w:trPr>
        <w:tc>
          <w:tcPr>
            <w:tcW w:type="dxa" w:w="1361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4479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Событие или утверждение</w:t>
            </w:r>
          </w:p>
        </w:tc>
        <w:tc>
          <w:tcPr>
            <w:tcW w:type="dxa" w:w="3912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Статус / граница вывода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EV-DEMO-01</w:t>
            </w:r>
          </w:p>
        </w:tc>
        <w:tc>
          <w:tcPr>
            <w:tcW w:type="dxa" w:w="447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Заданы исходные 100 000 / 75 000 / 20 000 / 5 000 м³.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 — условные исходные данные, не показания приборов.</w:t>
            </w:r>
          </w:p>
        </w:tc>
      </w:tr>
      <w:tr>
        <w:trPr>
          <w:cantSplit/>
        </w:trPr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EV-DEMO-02</w:t>
            </w:r>
          </w:p>
        </w:tc>
        <w:tc>
          <w:tcPr>
            <w:tcW w:type="dxa" w:w="447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Задан сценарий после ремонта 88 000 / 75 000 / 8 000 / 5 000 м³.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 — проектный сценарий, не выполненная работа.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EV-DEMO-03</w:t>
            </w:r>
          </w:p>
        </w:tc>
        <w:tc>
          <w:tcPr>
            <w:tcW w:type="dxa" w:w="447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Проверены два балансовых равенства.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 — арифметическая согласованность в пределах примера.</w:t>
            </w:r>
          </w:p>
        </w:tc>
      </w:tr>
      <w:tr>
        <w:trPr>
          <w:cantSplit/>
        </w:trPr>
        <w:tc>
          <w:tcPr>
            <w:tcW w:type="dxa" w:w="1361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EV-DEMO-04</w:t>
            </w:r>
          </w:p>
        </w:tc>
        <w:tc>
          <w:tcPr>
            <w:tcW w:type="dxa" w:w="4479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Рассчитано 7 200 кВт·ч разницы при 0,60 кВт·ч/м³.</w:t>
            </w:r>
          </w:p>
        </w:tc>
        <w:tc>
          <w:tcPr>
            <w:tcW w:type="dxa" w:w="3912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 — условный расчёт; реальная энергоэффективность не установлена.</w:t>
            </w:r>
          </w:p>
        </w:tc>
      </w:tr>
      <w:tr>
        <w:trPr>
          <w:cantSplit/>
        </w:trPr>
        <w:tc>
          <w:tcPr>
            <w:tcW w:type="dxa" w:w="1361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EV-DEMO-05</w:t>
            </w:r>
          </w:p>
        </w:tc>
        <w:tc>
          <w:tcPr>
            <w:tcW w:type="dxa" w:w="4479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Эффект для здоровья и биосферы.</w:t>
            </w:r>
          </w:p>
        </w:tc>
        <w:tc>
          <w:tcPr>
            <w:tcW w:type="dxa" w:w="3912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 — возможное влияние; подтверждающих измерений в примере нет.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Small"/>
      </w:pPr>
      <w:r>
        <w:rPr>
          <w:b w:val="0"/>
        </w:rPr>
        <w:t>Переход от М к Н требует реального наблюдения; от Н к В — достаточной проверки и ясной области вывода. Красивое оформление карточки или наличие контрольной суммы не повышает статус содержания.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В • ФОРМУЛЯРЫ Ф-03 И Ф-04</w:t>
      </w:r>
    </w:p>
    <w:p>
      <w:pPr>
        <w:pStyle w:val="Heading1"/>
      </w:pPr>
      <w:r>
        <w:t>Решение и отчёт об изменении баланса</w:t>
      </w:r>
    </w:p>
    <w:p>
      <w:pPr>
        <w:pStyle w:val="Heading2"/>
      </w:pPr>
      <w:r>
        <w:t>Ф-03. Карточка решения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154"/>
        <w:gridCol w:w="7597"/>
      </w:tblGrid>
      <w:tr>
        <w:trPr>
          <w:tblHeader w:val="true"/>
        </w:trPr>
        <w:tc>
          <w:tcPr>
            <w:tcW w:type="dxa" w:w="215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59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Что фиксируется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Предмет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Какую потребность или проблему решаем и почему решение требуется сейчас.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Варианты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Рассмотренные действия, включая сохранение текущего положения; ограничения каждого.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Основания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Ссылки на данные, источники, консультации и применимые правила.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Выбор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Выбранное действие, причины отказа от альтернатив, затронутые балансы.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Ответственность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Кто принимает, кто исполняет, кто предоставляет ресурс, кто проверяет.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Исполнение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Срок, бюджет или иной ресурсный предел, условия приёмки и пороги остановки.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Пересмотр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Дата проверки решения и порядок жалобы или изменения при новых данных.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Ф-04. Отчёт об изменении баланса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2154"/>
        <w:gridCol w:w="7597"/>
      </w:tblGrid>
      <w:tr>
        <w:trPr>
          <w:tblHeader w:val="true"/>
        </w:trPr>
        <w:tc>
          <w:tcPr>
            <w:tcW w:type="dxa" w:w="215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Раздел</w:t>
            </w:r>
          </w:p>
        </w:tc>
        <w:tc>
          <w:tcPr>
            <w:tcW w:type="dxa" w:w="759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9"/>
              </w:rPr>
              <w:t>Что требуется отразить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Идентификация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Баланс, объект, территория, период, единицы и сопоставимость с предыдущей версией.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Исходное и итоговое состояние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Значения либо профиль состояния; отсутствующие данные обозначены отдельно.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Изменение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Разница, потоки, переклассификации, ошибки учёта и условия сопоставления.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Вклад программы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Что можно отнести к действию и какие альтернативные объяснения остаются.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Связи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Энергия, финансы, природа, здоровье и другие затронутые балансы; исключение повторного учёта.</w:t>
            </w:r>
          </w:p>
        </w:tc>
      </w:tr>
      <w:tr>
        <w:trPr>
          <w:cantSplit/>
        </w:trPr>
        <w:tc>
          <w:tcPr>
            <w:tcW w:type="dxa" w:w="215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Доказательства</w:t>
            </w:r>
          </w:p>
        </w:tc>
        <w:tc>
          <w:tcPr>
            <w:tcW w:type="dxa" w:w="759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Первичные записи, методы, ограничения, проверка и независимость проверяющего.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Решение на следующий период</w:t>
            </w:r>
          </w:p>
        </w:tc>
        <w:tc>
          <w:tcPr>
            <w:tcW w:type="dxa" w:w="759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9"/>
              </w:rPr>
              <w:t>Продолжение, обслуживание, исправление, дополнительное исследование или прекращение.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ПРАВИЛО ПРИЁМКИ</w:t>
            </w:r>
          </w:p>
          <w:p>
            <w:pPr>
              <w:widowControl/>
              <w:spacing w:after="160"/>
            </w:pPr>
            <w:r>
              <w:t>Сначала принимается качество доказательств и достаточность полезного результата, затем — управленческий вывод. Выполненная работа, изменение показателя и доказанный причинный эффект являются тремя разными утверждениями.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</w:t>
      </w:r>
    </w:p>
    <w:p>
      <w:bookmarkStart w:id="26" w:name="appD"/>
      <w:pPr>
        <w:pStyle w:val="Heading1"/>
      </w:pPr>
      <w:r>
        <w:t>Реестр прежних работ и пакетов</w:t>
      </w:r>
      <w:bookmarkEnd w:id="26"/>
    </w:p>
    <w:p>
      <w:pPr>
        <w:pStyle w:val="Small"/>
      </w:pPr>
      <w:r>
        <w:rPr>
          <w:b w:val="0"/>
        </w:rPr>
        <w:t>Инвентаризация 149 известных названий по доступному проектному контексту. Это не архив полных текстов. Для всех записей ниже исходный файл не включён в сборку; версия и контрольная сумма не установлены. Завершение, подпись и отправка пакетов не удостоверяются.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Белая Книга Судьбы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Завет Единого Неба — 19 статей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One-Heaven — семиуровневая информационно-правовая система: реконструкция, верификация и интеграция с 19 балансами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Источники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Космический Порядок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16 Конов — Основа мироздания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Планетарный лотос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Три цветка жизни. Три Сферы по 19 сфер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Основания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Кристалл 741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Архитектура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REG-009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Доктрина Победы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Теория Поля / Узлов / Графов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Методология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Теория Циклов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Методология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Нейросвод цивилизаций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Методология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Единая Наука природных систем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Ядерная математика и Архитектура ЭКВИЛИБРИУМ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ОРИОН 22:22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Квантовый рывок Плотности и Измерений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Космические науки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Галактические ключи и Врата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REG-019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МетаПроект Цивилизации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Уклад Знания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021–040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Унификация систем Возрождения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Карта Пробуждения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ЭКВИЛИБРИУМ — Белая книга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Архитектура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Государственная программа ЭКВИЛИБРИУМ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Архитектура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ГАСМП «ЭКВИЛИБРИУМ» — раннее предупреждение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Мониторинг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Всемирный Портал СФЕРА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Взаимодействие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Всемирный Портал Кино — СФЕРА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ECO-PPA №001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Ресурсы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REG-029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Сфера и Эквилибриум + ECO-PPA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Ресурсы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Mind Map ECO-PPA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Архитектура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ESG-IR 1.0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Валидация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Реестр показателей и центры валидации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Валидация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СПЕЦЗАЩИТА 1.0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Исполнение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Информационно-аналитический центр: активы и проекты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Организация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Единое государство — концепция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Институты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Планета как одно государство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Институты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Консолидация стран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Кооперация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Планетарный баланс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REG-039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 Биосферы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Человек. Культура и мировые балансы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041–060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Связанные 19 балансов — унификация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 как системы управления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SUR: система управления развитием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SUR — 810 код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Идеальный документооборот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Данные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Архив сохранения наследия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Наследие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Карта валидации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Валидация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Глобус смыслов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Валидация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REG-049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Биоценозные метки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Динамическая модель биосферы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Мониторинг и прогнозирование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Мониторинг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Конструирование и планирование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Гидросфера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Воздух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Землепользование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Анализ балансов России за 30 лет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 за 130 лет. Влияние Академии Наук Российской Империи, СССР и РФ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 Китая за 130 лет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REG-059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 США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Синхронизация России, Китая и США — оценка эффектов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061–080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Балансы по министерствам и учреждениям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Межотраслевой баланс. Выходы через смыслы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Анализ баланса госкорпораций за 30 лет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Аналитика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 страной — Госкорпорации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Система планирования и конструирования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Новый Уклад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Стратегия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Управление рисками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Государственный Конструктор России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Конструктор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REG-069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Граф Производительных Сил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Конструктор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Генеральная схема размещения производительных сил России 2050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Конструктор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Восемь паспортов макрорегионов России 2050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Территории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Реестр 50 Комплексов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Производство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Комплексы промышленных решений по 19 направлениям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Производство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Машиноведение России — Комплексы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Производство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Государственные основы межведомственных программ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Управление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Материалы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Материалы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Керамика и синтетические кристаллы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Материалы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Физическая химия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REG-079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Физика Плазмы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Робототехника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Производство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081–100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Мобилизационные комплексы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Производство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Транспорт Будущего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Транспорт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Транспорт 2035–2050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Транспорт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Тарифы на энергию и углеродные единицы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Энергия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Концепт автономной генерации Нового Мирового Уклада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Единый строительный портал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Строительство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Цифровая трансформация строительства и ЖКХ до 2030 года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Строительство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по указу: ЖКХ и стройка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Строительство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REG-089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НМА — Нематериальные Активы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Учёт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НМА — мировой опыт оценки и учёта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Учёт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Учётная группа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Учёт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Вычислительный ГРИД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Вычисления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Планетарный ГРИД / Метакомпьютер / Биг Дата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Вычисления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ИМАШ РАН — структура института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Гиперграфы ИМАШ РАН — внешние контуры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ИМАШ РАН — Вычислительный ГРИД. Математика больших чисел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ИМАШ РАН — Межведомственная система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Новая финансовая система. Человек — эмиссионный центр и банк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Финансы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REG-099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Личные и именные фонды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Фонды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Система фондов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Фонды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101–120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Фонды кооператива и личные фонды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Фонды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Глобальный энергетический PPA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Ресурсы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19 направлений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Программы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Образование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Образование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Здоровье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Здоровье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Человек и здоровье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Здоровье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Вода и водный баланс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Вода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Естественный климат, живая почва и продовольствие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REG-109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Естественный климат / Биодинамическое земледелие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Биосфера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Дети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Дети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Борьба с нищетой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Соцподдержка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Достойный труд, доход и экономическая самостоятельность семьи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Труд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Предпринимательство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Кооперация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Кооперация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Кооперация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Кооперация и профсоюзы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Труд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Безопасность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Безопасность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Новый Мировой Уклад — Финансы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Финансы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Как мы остановим войну?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Мир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REG-119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Коллективный Совет Безопасности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Мир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Смена Плотности. Смена Измерений. Одна Цель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121–140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Сильные сообщества — Объединение людей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Сообщества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Культура. Наука. Цивилизация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Города Знания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Образование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Сафари-парк + Город Знания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Территории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Знания и Энергия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Образование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Единая Родовая Система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Сообщества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Конструктор Мира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Конструктор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Эстафеты Огня Знания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REG-129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Всемирные Христианские игры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Социальные программы Нового Уклада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Соцподдержка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Комплексная система реабилитации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Реабилитация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Второе дыхание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Реабилитация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Материалы Нового Уклада — Протезирование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Реабилитация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 и производство — Биоценозы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Наука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Системная реабилитация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Реабилитация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Когнитивная абилитация и персонализированная 3D-печать еды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Реабилитация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Эталонные формуляры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Методология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Россия — Мягкая сила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Культура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REG-139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Дюмину на Госсовет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REG-140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Письмо А. Р. Белоусову — Суть стратегических решений. Балансы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Г • ПРОДОЛЖЕНИЕ</w:t>
      </w:r>
    </w:p>
    <w:p>
      <w:pPr>
        <w:pStyle w:val="Heading1"/>
      </w:pPr>
      <w:r>
        <w:t>Реестр работ • записи 141–149</w:t>
      </w:r>
    </w:p>
    <w:p>
      <w:pPr>
        <w:pStyle w:val="Small"/>
      </w:pPr>
      <w:r>
        <w:rPr>
          <w:b w:val="0"/>
        </w:rPr>
        <w:t>Общий статус: название известно; исходный файл не включён; версия не установлена. Обозначения REG присвоены только для навигации этой редакции.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6E4E7"/>
          <w:left w:val="single" w:sz="3" w:color="D6E4E7"/>
          <w:bottom w:val="single" w:sz="3" w:color="D6E4E7"/>
          <w:right w:val="single" w:sz="3" w:color="D6E4E7"/>
          <w:insideH w:val="single" w:sz="3" w:color="D6E4E7"/>
          <w:insideV w:val="single" w:sz="3" w:color="D6E4E7"/>
        </w:tblBorders>
        <w:tblCellMar>
          <w:top w:w="65" w:type="dxa"/>
          <w:bottom w:w="65" w:type="dxa"/>
          <w:left w:w="90" w:type="dxa"/>
          <w:right w:w="90" w:type="dxa"/>
        </w:tblCellMar>
      </w:tblPr>
      <w:tblGrid>
        <w:gridCol w:w="964"/>
        <w:gridCol w:w="7030"/>
        <w:gridCol w:w="1757"/>
      </w:tblGrid>
      <w:tr>
        <w:trPr>
          <w:tblHeader w:val="true"/>
        </w:trPr>
        <w:tc>
          <w:tcPr>
            <w:tcW w:type="dxa" w:w="964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Запись</w:t>
            </w:r>
          </w:p>
        </w:tc>
        <w:tc>
          <w:tcPr>
            <w:tcW w:type="dxa" w:w="7030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Известное название работы или пакета</w:t>
            </w:r>
          </w:p>
        </w:tc>
        <w:tc>
          <w:tcPr>
            <w:tcW w:type="dxa" w:w="1757"/>
            <w:shd w:fill="177B7D"/>
          </w:tcPr>
          <w:p>
            <w:pPr>
              <w:pStyle w:val="TableText"/>
              <w:keepNext w:val="0"/>
              <w:widowControl/>
            </w:pPr>
            <w:r>
              <w:rPr>
                <w:b/>
                <w:color w:val="FFFFFF"/>
                <w:sz w:val="18"/>
              </w:rPr>
              <w:t>Тематический контур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REG-141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документов для Главы ФСБ — Бортникова А. В.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REG-142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Цивелевой А.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REG-143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Письма Путину и Лукашенко — Единое государство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REG-144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для Энтони де Ротшильда — русская и английская версии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REG-145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Пакет для Ротшильда — Новый Мировой Уклад. Образ Будущего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REG-146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Письмо Ротшильду — оформление выкупа генерации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Адресный пакет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REG-147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Родовое древо Ротшильдов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REG-148</w:t>
            </w:r>
          </w:p>
        </w:tc>
        <w:tc>
          <w:tcPr>
            <w:tcW w:type="dxa" w:w="7030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Становление Ротшильдов. Энтони де Ротшильд</w:t>
            </w:r>
          </w:p>
        </w:tc>
        <w:tc>
          <w:tcPr>
            <w:tcW w:type="dxa" w:w="1757"/>
            <w:vAlign w:val="center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  <w:tr>
        <w:trPr>
          <w:cantSplit/>
        </w:trPr>
        <w:tc>
          <w:tcPr>
            <w:tcW w:type="dxa" w:w="964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REG-149</w:t>
            </w:r>
          </w:p>
        </w:tc>
        <w:tc>
          <w:tcPr>
            <w:tcW w:type="dxa" w:w="7030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Уставная грамота 1820 года, Свод законов Российской империи и конституционные модели — сравнительный анализ</w:t>
            </w:r>
          </w:p>
        </w:tc>
        <w:tc>
          <w:tcPr>
            <w:tcW w:type="dxa" w:w="1757"/>
            <w:vAlign w:val="center"/>
            <w:shd w:fill="F3F7FA"/>
          </w:tcPr>
          <w:p>
            <w:pPr>
              <w:pStyle w:val="TableText"/>
              <w:keepNext w:val="0"/>
              <w:widowControl/>
            </w:pPr>
            <w:r>
              <w:rPr>
                <w:sz w:val="18"/>
              </w:rPr>
              <w:t>Исследования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pStyle w:val="Heading2"/>
      </w:pPr>
      <w:r>
        <w:t>Порядок включения исходных документов</w:t>
      </w:r>
    </w:p>
    <w:p>
      <w:r>
        <w:rPr>
          <w:b w:val="0"/>
        </w:rPr>
        <w:t>После получения файла сохраняются оригинальное название и исходная дата; определяются версия, авторство, права доступа, контрольная сумма и связи с направлениями. Похожие названия не считаются одинаковыми документами без сравнения. Новая редакция связывается с предыдущей, а не стирает её.</w:t>
      </w:r>
    </w:p>
    <w:p>
      <w:pPr>
        <w:pStyle w:val="Small"/>
      </w:pPr>
      <w:r>
        <w:rPr>
          <w:b w:val="0"/>
        </w:rPr>
        <w:t>Идентификатор REG обозначает запись инвентаризации, а не доказательство существования подписанного документа. Перечень открыт для дополнения и сверки; полнота всего личного архива этой книгой не заявляется.</w:t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Д</w:t>
      </w:r>
    </w:p>
    <w:p>
      <w:bookmarkStart w:id="27" w:name="appE"/>
      <w:pPr>
        <w:pStyle w:val="Heading1"/>
      </w:pPr>
      <w:r>
        <w:t>Источники и карта достоверности</w:t>
      </w:r>
      <w:bookmarkEnd w:id="27"/>
    </w:p>
    <w:p>
      <w:pPr>
        <w:pStyle w:val="Small"/>
      </w:pPr>
      <w:r>
        <w:rPr>
          <w:b w:val="0"/>
        </w:rPr>
        <w:t>Проверка внешних источников выполнена 09.09.2026. Ссылки ведут на первичные публикации, официальные страницы либо архив первичного сайта. Они поддерживают только явно отмеченные фактические сведения; собственные предложения книги не получают от них автоматического признания.</w:t>
      </w:r>
    </w:p>
    <w:p>
      <w:pPr>
        <w:pStyle w:val="Heading2"/>
      </w:pPr>
      <w:r>
        <w:rPr>
          <w:color w:val="193C4B"/>
          <w:sz w:val="23"/>
        </w:rPr>
        <w:t>[И01] One-Heaven. Главная страница. Архивный снимок 25.06.2014, 06:31:05.</w:t>
      </w:r>
    </w:p>
    <w:p>
      <w:pPr>
        <w:pStyle w:val="Small"/>
      </w:pPr>
      <w:r>
        <w:rPr>
          <w:b w:val="0"/>
        </w:rPr>
      </w:r>
      <w:hyperlink r:id="rId11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Подтверждает наличие навигационных разделов и названий в снимке. Не подтверждает юридическую силу, полномочия, имущество или исполнение объявленных конструкций.</w:t>
      </w:r>
    </w:p>
    <w:p>
      <w:pPr>
        <w:pStyle w:val="Heading2"/>
      </w:pPr>
      <w:r>
        <w:rPr>
          <w:color w:val="193C4B"/>
          <w:sz w:val="23"/>
        </w:rPr>
        <w:t>[И02] ISO/IEC 7498-1:1994. Information technology — Open Systems Interconnection — Basic Reference Model: The Basic Model.</w:t>
      </w:r>
    </w:p>
    <w:p>
      <w:pPr>
        <w:pStyle w:val="Small"/>
      </w:pPr>
      <w:r>
        <w:rPr>
          <w:b w:val="0"/>
        </w:rPr>
      </w:r>
      <w:hyperlink r:id="rId12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Официальная карточка ISO. Используется для разграничения сетевой модели и авторской семиуровневой схемы. Соответствие или сертификация проекта не заявляются.</w:t>
      </w:r>
    </w:p>
    <w:p>
      <w:pPr>
        <w:pStyle w:val="Heading2"/>
      </w:pPr>
      <w:r>
        <w:rPr>
          <w:color w:val="193C4B"/>
          <w:sz w:val="23"/>
        </w:rPr>
        <w:t>[И03] УВКПЧ ООН. Universal Declaration of Human Rights. English translation.</w:t>
      </w:r>
    </w:p>
    <w:p>
      <w:pPr>
        <w:pStyle w:val="Small"/>
      </w:pPr>
      <w:r>
        <w:rPr>
          <w:b w:val="0"/>
        </w:rPr>
      </w:r>
      <w:hyperlink r:id="rId13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Внешний ориентир равного достоинства, прав и свободы совести. Полный юридический анализ применимости к конкретной деятельности не выполнялся.</w:t>
      </w:r>
    </w:p>
    <w:p>
      <w:pPr>
        <w:pStyle w:val="Heading2"/>
      </w:pPr>
      <w:r>
        <w:rPr>
          <w:color w:val="193C4B"/>
          <w:sz w:val="23"/>
        </w:rPr>
        <w:t>[И04] ООН. Transforming our world: the 2030 Agenda for Sustainable Development.</w:t>
      </w:r>
    </w:p>
    <w:p>
      <w:pPr>
        <w:pStyle w:val="Small"/>
      </w:pPr>
      <w:r>
        <w:rPr>
          <w:b w:val="0"/>
        </w:rPr>
      </w:r>
      <w:hyperlink r:id="rId14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Источник структуры 17 ЦУР и 169 задач. Сопоставление с направлениями книги — редакционная карта, не оценка ООН.</w:t>
      </w:r>
    </w:p>
    <w:p>
      <w:pPr>
        <w:pStyle w:val="Heading2"/>
      </w:pPr>
      <w:r>
        <w:t>Как обозначаются ссылки</w:t>
      </w:r>
    </w:p>
    <w:p>
      <w:r>
        <w:rPr>
          <w:b w:val="0"/>
        </w:rPr>
        <w:t>Обозначение [Иxx] связывает конкретное фактическое утверждение с источником. Нормативные статьи, формулы учебного примера, классификаторы, дорожная карта и формуляры являются авторским проектным содержанием этой редакции. Их нельзя цитировать как внешне подтверждённую оценку действующей системы.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rPr>
          <w:cantSplit/>
        </w:trPr>
        <w:tc>
          <w:tcPr>
            <w:tcW w:type="dxa" w:w="9752"/>
            <w:shd w:fill="EAF5F3"/>
          </w:tcPr>
          <w:p>
            <w:pPr>
              <w:widowControl/>
              <w:spacing w:before="140" w:after="100"/>
            </w:pPr>
            <w:r>
              <w:rPr>
                <w:b/>
                <w:color w:val="177B7D"/>
              </w:rPr>
              <w:t>СЛЕДУЮЩАЯ РЕДАКЦИЯ</w:t>
            </w:r>
          </w:p>
          <w:p>
            <w:pPr>
              <w:widowControl/>
              <w:spacing w:after="160"/>
            </w:pPr>
            <w:r>
              <w:t>Добавление исходных файлов → сверка номенклатуры → согласование принципов и ролей → паспорта реальных пилотов → исходные измерения → проверенные результаты. История нынешней редакции сохраняется как начало этой последовательности.</w:t>
            </w:r>
          </w:p>
        </w:tc>
      </w:tr>
    </w:tbl>
    <w:p>
      <w:pPr>
        <w:pStyle w:val="Small"/>
        <w:spacing w:after="20"/>
      </w:pPr>
      <w:r>
        <w:rPr>
          <w:b w:val="0"/>
        </w:rPr>
      </w:r>
    </w:p>
    <w:p>
      <w:pPr>
        <w:spacing w:before="0" w:after="0" w:line="240" w:lineRule="auto"/>
      </w:pPr>
      <w:r>
        <w:rPr>
          <w:sz w:val="2"/>
        </w:rPr>
        <w:br w:type="page"/>
      </w:r>
    </w:p>
    <w:p>
      <w:pPr>
        <w:pStyle w:val="Kicker"/>
      </w:pPr>
      <w:r>
        <w:rPr>
          <w:b w:val="0"/>
        </w:rPr>
        <w:t>ПРИЛОЖЕНИЕ Д • ПРОДОЛЖЕНИЕ</w:t>
      </w:r>
    </w:p>
    <w:p>
      <w:pPr>
        <w:pStyle w:val="Heading1"/>
      </w:pPr>
      <w:r>
        <w:t>Границы достоверности и следующий цикл проверки</w:t>
      </w:r>
    </w:p>
    <w:p>
      <w:pPr>
        <w:pStyle w:val="Heading2"/>
      </w:pPr>
      <w:r>
        <w:rPr>
          <w:color w:val="193C4B"/>
          <w:sz w:val="23"/>
        </w:rPr>
        <w:t>[И05] ООН. System of Environmental-Economic Accounting — Ecosystem Accounting. Методологическая страница.</w:t>
      </w:r>
    </w:p>
    <w:p>
      <w:pPr>
        <w:pStyle w:val="Small"/>
      </w:pPr>
      <w:r>
        <w:rPr>
          <w:b w:val="0"/>
        </w:rPr>
      </w:r>
      <w:hyperlink r:id="rId15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Ориентир пространственного учёта площади, состояния экосистем и услуг. Соответствие собственных паспортов SEEA не установлено.</w:t>
      </w:r>
    </w:p>
    <w:p>
      <w:pPr>
        <w:pStyle w:val="Heading2"/>
      </w:pPr>
      <w:r>
        <w:rPr>
          <w:color w:val="193C4B"/>
          <w:sz w:val="23"/>
        </w:rPr>
        <w:t>[И06] NIST. AI Risk Management Framework. Официальная страница программы.</w:t>
      </w:r>
    </w:p>
    <w:p>
      <w:pPr>
        <w:pStyle w:val="Small"/>
      </w:pPr>
      <w:r>
        <w:rPr>
          <w:b w:val="0"/>
        </w:rPr>
      </w:r>
      <w:hyperlink r:id="rId16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Источник сведений о добровольной рамке управления рисками ИИ. Для внедрения фиксируется конкретная редакция; это не свидетельство сертификации.</w:t>
      </w:r>
    </w:p>
    <w:p>
      <w:pPr>
        <w:pStyle w:val="Heading2"/>
      </w:pPr>
      <w:r>
        <w:rPr>
          <w:color w:val="193C4B"/>
          <w:sz w:val="23"/>
        </w:rPr>
        <w:t>[И07] W3C. PROV-Overview. 30.04.2013.</w:t>
      </w:r>
    </w:p>
    <w:p>
      <w:pPr>
        <w:pStyle w:val="Small"/>
      </w:pPr>
      <w:r>
        <w:rPr>
          <w:b w:val="0"/>
        </w:rPr>
      </w:r>
      <w:hyperlink r:id="rId17">
        <w:r>
          <w:rPr>
            <w:color w:val="177B7D"/>
            <w:u w:val="single"/>
          </w:rPr>
          <w:t>Открыть источник</w:t>
        </w:r>
      </w:hyperlink>
    </w:p>
    <w:p>
      <w:r>
        <w:rPr>
          <w:b w:val="0"/>
        </w:rPr>
        <w:t>Обзор семейства PROV и подхода к происхождению данных. Карточки книги являются проектным форматом, а не заявленной реализацией всех спецификаций PROV.</w:t>
      </w:r>
    </w:p>
    <w:p>
      <w:pPr>
        <w:pStyle w:val="Heading2"/>
      </w:pPr>
      <w:r>
        <w:t>Что проверено в этой редакции</w:t>
      </w:r>
    </w:p>
    <w:p>
      <w:r>
        <w:rPr>
          <w:b w:val="0"/>
        </w:rPr>
        <w:t>Проверены отдельные внешние сведения, отмеченные источниками; арифметика 3 × 19 × 13 = 741 и 13 × 20 = 260; учебный водно-энергетический расчёт; согласованность внутренних кодов направлений и балансов. Это не аудит будущей системы, её партнёров или финансовых оснований.</w:t>
      </w:r>
    </w:p>
    <w:p>
      <w:pPr>
        <w:pStyle w:val="Heading2"/>
      </w:pPr>
      <w:r>
        <w:t>Что остаётся проектным</w:t>
      </w:r>
    </w:p>
    <w:p>
      <w:r>
        <w:rPr>
          <w:b w:val="0"/>
        </w:rPr>
        <w:t>Тексты 16 Конов и 19 статей; названия трёх Сфер; 13 полей узла; классификаторы D и B; измерительные оси и 260 позиций; органы управления; роли партнёров; пилоты; календарь запуска; формуляры. Утверждение этих элементов требует отдельного согласования.</w:t>
      </w:r>
    </w:p>
    <w:p>
      <w:pPr>
        <w:pStyle w:val="Heading2"/>
      </w:pPr>
      <w:r>
        <w:t>Что требует исходных документов и независимой проверки</w:t>
      </w:r>
    </w:p>
    <w:p>
      <w:r>
        <w:rPr>
          <w:b w:val="0"/>
        </w:rPr>
        <w:t>Полные версии прежних работ; юридический статус и полномочия участников; права на активы; договоры и финансирование; технические характеристики устройств; результаты испытаний и медицинские исходы. Книга не признаёт эти сведения подтверждёнными только на основании предыдущего обсуждения или названия пакета.</w:t>
      </w:r>
    </w:p>
    <w:p>
      <w:pPr>
        <w:pStyle w:val="Heading2"/>
      </w:pPr>
      <w:r>
        <w:t>Особенность архивных источников</w:t>
      </w:r>
    </w:p>
    <w:p>
      <w:r>
        <w:rPr>
          <w:b w:val="0"/>
        </w:rPr>
        <w:t>Дата архивного снимка относится к конкретной странице. Переход по ссылке может открыть снимок другого времени; дату следует фиксировать для каждой страницы отдельно. Полный корпус One-Heaven в данную редакцию не включён. Его детальная структура и спорные правовые утверждения требуют самостоятельной источниковедческой работы.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49" w:right="1020" w:bottom="992" w:left="1134" w:header="397" w:footer="425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tabs>
        <w:tab w:pos="9751" w:val="right"/>
      </w:tabs>
    </w:pPr>
    <w:r>
      <w:t>BK-ES-001  •  Редакция 1.0  •  09.09.2026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48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spacing w:after="60"/>
      <w:pBdr>
        <w:bottom w:val="single" w:sz="6" w:color="BCDCD7" w:space="5"/>
      </w:pBdr>
    </w:pPr>
    <w:r>
      <w:t>БЕЛАЯ КНИГА ЕДИНОЙ СУДЬБЫ                                      ЭКВИЛИБРИУМ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20"/>
    </w:pPr>
    <w:rPr>
      <w:rFonts w:ascii="Calibri" w:hAnsi="Calibri" w:eastAsia="Calibri"/>
      <w:color w:val="193C4B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93C4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77B7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93C4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Calibri" w:hAnsi="Calibri" w:eastAsia="Calibri"/>
      <w:color w:val="193C4B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200" w:after="120"/>
    </w:pPr>
    <w:rPr>
      <w:rFonts w:asciiTheme="majorHAnsi" w:eastAsiaTheme="majorEastAsia" w:hAnsiTheme="majorHAnsi" w:cstheme="majorBidi" w:ascii="Calibri" w:hAnsi="Calibri" w:eastAsia="Calibri"/>
      <w:i/>
      <w:iCs/>
      <w:color w:val="177B7D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80"/>
    </w:pPr>
    <w:rPr>
      <w:rFonts w:ascii="Calibri" w:hAnsi="Calibri"/>
      <w:b/>
      <w:bCs/>
      <w:color w:val="566975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basedOn w:val="Normal"/>
    <w:pPr>
      <w:spacing w:after="80" w:line="240" w:lineRule="auto"/>
    </w:pPr>
    <w:rPr>
      <w:rFonts w:ascii="Calibri" w:hAnsi="Calibri"/>
      <w:color w:val="566975"/>
      <w:sz w:val="18"/>
    </w:rPr>
  </w:style>
  <w:style w:type="paragraph" w:customStyle="1" w:styleId="TableText">
    <w:name w:val="Table Text"/>
    <w:basedOn w:val="Normal"/>
    <w:pPr>
      <w:spacing w:after="60" w:line="240" w:lineRule="auto" w:before="60"/>
    </w:pPr>
    <w:rPr>
      <w:rFonts w:ascii="Calibri" w:hAnsi="Calibri"/>
      <w:sz w:val="19"/>
    </w:rPr>
  </w:style>
  <w:style w:type="paragraph" w:customStyle="1" w:styleId="Kicker">
    <w:name w:val="Kicker"/>
    <w:basedOn w:val="Normal"/>
    <w:pPr>
      <w:spacing w:after="180" w:line="240" w:lineRule="auto"/>
    </w:pPr>
    <w:rPr>
      <w:rFonts w:ascii="Calibri" w:hAnsi="Calibri"/>
      <w:b/>
      <w:color w:val="177B7D"/>
      <w:sz w:val="19"/>
    </w:rPr>
  </w:style>
  <w:style w:type="paragraph" w:customStyle="1" w:styleId="TOCEntry">
    <w:name w:val="TOC Entry"/>
    <w:basedOn w:val="Normal"/>
    <w:pPr>
      <w:spacing w:after="80" w:line="240" w:lineRule="auto"/>
    </w:pPr>
    <w:rPr>
      <w:rFonts w:ascii="Calibri" w:hAnsi="Calibri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eb.archive.org/web/20140625063105/http://one-heaven.org/home.php" TargetMode="External"/><Relationship Id="rId12" Type="http://schemas.openxmlformats.org/officeDocument/2006/relationships/hyperlink" Target="https://www.iso.org/standard/20269.html" TargetMode="External"/><Relationship Id="rId13" Type="http://schemas.openxmlformats.org/officeDocument/2006/relationships/hyperlink" Target="https://www.ohchr.org/en/human-rights/universal-declaration/translations/english" TargetMode="External"/><Relationship Id="rId14" Type="http://schemas.openxmlformats.org/officeDocument/2006/relationships/hyperlink" Target="https://sdgs.un.org/2030agenda" TargetMode="External"/><Relationship Id="rId15" Type="http://schemas.openxmlformats.org/officeDocument/2006/relationships/hyperlink" Target="https://seea.un.org/en/methodology/ecosystem-accounting" TargetMode="External"/><Relationship Id="rId16" Type="http://schemas.openxmlformats.org/officeDocument/2006/relationships/hyperlink" Target="https://www.nist.gov/itl/ai-risk-management-framework" TargetMode="External"/><Relationship Id="rId17" Type="http://schemas.openxmlformats.org/officeDocument/2006/relationships/hyperlink" Target="https://www.w3.org/TR/prov-overvie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Белая книга Единой Судьбы</dc:title>
  <dc:subject>МетаПроект Цивилизации: человек, биосфера, знание и 19 связанных балансов</dc:subject>
  <dc:creator>Соколов Сергей Леонидович</dc:creator>
  <cp:keywords>ЭКВИЛИБРИУМ, Единая Судьба, 19 балансов, 741, Завет Единого Неба</cp:keywords>
  <dc:description>Рабочая редакция 1.0. Подготовлено по концепции инициатора проекта; новые классификаторы являются редакционными предложениями.</dc:description>
  <cp:lastModifiedBy/>
  <cp:revision>1</cp:revision>
  <dcterms:created xsi:type="dcterms:W3CDTF">2026-09-09T10:00:00Z</dcterms:created>
  <dcterms:modified xsi:type="dcterms:W3CDTF">2026-09-09T10:00:00Z</dcterms:modified>
  <cp:category/>
</cp:coreProperties>
</file>